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asciiTheme="minorEastAsia" w:hAnsiTheme="minorEastAsia" w:eastAsiaTheme="minorEastAsia"/>
          <w:b/>
          <w:snapToGrid w:val="0"/>
          <w:kern w:val="0"/>
          <w:sz w:val="72"/>
          <w:szCs w:val="72"/>
        </w:rPr>
      </w:pPr>
      <w:r>
        <w:rPr>
          <w:rFonts w:hint="eastAsia" w:asciiTheme="minorEastAsia" w:hAnsiTheme="minorEastAsia" w:eastAsiaTheme="minorEastAsia"/>
          <w:b/>
          <w:bCs/>
          <w:snapToGrid w:val="0"/>
          <w:kern w:val="0"/>
          <w:sz w:val="56"/>
          <w:szCs w:val="56"/>
        </w:rPr>
        <w:t>知识产权保护类专项资金申报受理评审验收组织工作辅助服务</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项目编号：SZZZ2024-QC0121</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pPr>
      <w:r>
        <w:rPr>
          <w:rFonts w:eastAsia="经典标宋简"/>
          <w:b/>
          <w:snapToGrid w:val="0"/>
          <w:kern w:val="0"/>
          <w:sz w:val="44"/>
        </w:rPr>
        <w:t xml:space="preserve"> </w:t>
      </w:r>
    </w:p>
    <w:p/>
    <w:p/>
    <w:p/>
    <w:p/>
    <w:p/>
    <w:p/>
    <w:p>
      <w:pPr>
        <w:pStyle w:val="28"/>
        <w:adjustRightInd w:val="0"/>
        <w:snapToGrid w:val="0"/>
        <w:spacing w:line="300" w:lineRule="auto"/>
        <w:ind w:hanging="835"/>
        <w:jc w:val="center"/>
        <w:rPr>
          <w:b/>
          <w:kern w:val="0"/>
          <w:sz w:val="28"/>
          <w:szCs w:val="28"/>
        </w:rPr>
      </w:pPr>
      <w:r>
        <w:rPr>
          <w:rFonts w:hint="eastAsia"/>
          <w:b/>
          <w:snapToGrid w:val="0"/>
          <w:sz w:val="30"/>
        </w:rPr>
        <w:t>二〇二四年三月</w:t>
      </w:r>
    </w:p>
    <w:p/>
    <w:p/>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rPr>
          <w:iCs/>
          <w:smallCaps/>
          <w:lang w:val="zh-CN"/>
        </w:rPr>
      </w:pPr>
      <w:r>
        <w:rPr>
          <w:iCs/>
          <w:smallCaps/>
          <w:lang w:val="zh-CN"/>
        </w:rPr>
        <w:br w:type="page"/>
      </w:r>
    </w:p>
    <w:p>
      <w:pPr>
        <w:rPr>
          <w:lang w:val="zh-CN"/>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pPr>
            <w:pStyle w:val="34"/>
            <w:tabs>
              <w:tab w:val="right" w:leader="dot" w:pos="9628"/>
            </w:tabs>
            <w:rPr>
              <w:rFonts w:ascii="仿宋_GB2312" w:eastAsia="仿宋_GB2312"/>
              <w:sz w:val="24"/>
            </w:rPr>
          </w:pPr>
        </w:p>
        <w:p>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6</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pPr>
          <w:r>
            <w:rPr>
              <w:rFonts w:hint="eastAsia" w:ascii="仿宋_GB2312" w:eastAsia="仿宋_GB2312"/>
              <w:sz w:val="24"/>
            </w:rPr>
            <w:fldChar w:fldCharType="end"/>
          </w:r>
        </w:p>
      </w:sdtContent>
    </w:sdt>
    <w:p/>
    <w:p/>
    <w:p/>
    <w:p/>
    <w:p>
      <w:pPr>
        <w:pStyle w:val="3"/>
      </w:pPr>
      <w:bookmarkStart w:id="0" w:name="_Toc135293159"/>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知识产权保护类专项资金申报受理评审验收组织工作辅助服务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04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01</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15</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SZZZ2024-QC0121</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2、项目名称：知识产权保护类专项资金申报受理评审验收组织工作辅助服务</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4、预算金额：人民币20万元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5、最高限价：人民币20万元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682"/>
        <w:gridCol w:w="3287"/>
        <w:gridCol w:w="921"/>
        <w:gridCol w:w="922"/>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pPr>
              <w:pStyle w:val="45"/>
              <w:spacing w:line="360" w:lineRule="auto"/>
              <w:jc w:val="center"/>
              <w:rPr>
                <w:sz w:val="21"/>
              </w:rPr>
            </w:pPr>
            <w:r>
              <w:rPr>
                <w:sz w:val="21"/>
              </w:rPr>
              <w:t>标的名称</w:t>
            </w:r>
          </w:p>
        </w:tc>
        <w:tc>
          <w:tcPr>
            <w:tcW w:w="921"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68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pPr>
              <w:pStyle w:val="45"/>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知识产权保护类专项资金申报受理评审验收组织工作辅助服务</w:t>
            </w:r>
          </w:p>
        </w:tc>
        <w:tc>
          <w:tcPr>
            <w:tcW w:w="921"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21</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（1）现场获取：投标人按以上时间和地点现场报名和获取招标文件，逾期不予受理。</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01</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名称：深圳市市场监督管理局</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地址：深圳市福田区深南大道7010号</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eastAsia="zh-CN"/>
        </w:rPr>
        <w:t>马小姐，</w:t>
      </w:r>
      <w:r>
        <w:rPr>
          <w:rFonts w:hint="eastAsia" w:ascii="宋体" w:hAnsi="宋体" w:eastAsia="宋体"/>
          <w:snapToGrid w:val="0"/>
          <w:color w:val="auto"/>
          <w:sz w:val="21"/>
          <w:szCs w:val="21"/>
          <w:lang w:val="en-US" w:eastAsia="zh-CN"/>
        </w:rPr>
        <w:t>0755-83070099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联系方式：李先生，0755-83026699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项目联系人：李先生</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03</w:t>
      </w:r>
      <w:r>
        <w:rPr>
          <w:rFonts w:ascii="宋体" w:hAnsi="宋体"/>
          <w:snapToGrid w:val="0"/>
          <w:kern w:val="0"/>
          <w:sz w:val="24"/>
        </w:rPr>
        <w:t>月</w:t>
      </w:r>
      <w:r>
        <w:rPr>
          <w:rFonts w:hint="eastAsia" w:ascii="宋体" w:hAnsi="宋体"/>
          <w:snapToGrid w:val="0"/>
          <w:kern w:val="0"/>
          <w:sz w:val="24"/>
          <w:lang w:val="en-US" w:eastAsia="zh-CN"/>
        </w:rPr>
        <w:t>21</w:t>
      </w:r>
      <w:bookmarkStart w:id="110" w:name="_GoBack"/>
      <w:bookmarkEnd w:id="110"/>
      <w:r>
        <w:rPr>
          <w:rFonts w:hint="eastAsia" w:ascii="宋体" w:hAnsi="宋体"/>
          <w:snapToGrid w:val="0"/>
          <w:kern w:val="0"/>
          <w:sz w:val="24"/>
        </w:rPr>
        <w:t>日</w:t>
      </w:r>
    </w:p>
    <w:p/>
    <w:p/>
    <w:p>
      <w:bookmarkStart w:id="1" w:name="_Toc135293160"/>
      <w:r>
        <w:rPr>
          <w:rFonts w:hint="eastAsia"/>
        </w:rPr>
        <w:br w:type="page"/>
      </w:r>
    </w:p>
    <w:p>
      <w:pPr>
        <w:pStyle w:val="3"/>
      </w:pPr>
      <w:r>
        <w:rPr>
          <w:rFonts w:hint="eastAsia"/>
        </w:rPr>
        <w:t>第二章  项目需求</w:t>
      </w:r>
      <w:bookmarkEnd w:id="1"/>
    </w:p>
    <w:p>
      <w:pPr>
        <w:spacing w:afterLines="50" w:line="360" w:lineRule="auto"/>
        <w:ind w:left="2"/>
        <w:jc w:val="center"/>
        <w:rPr>
          <w:rFonts w:ascii="宋体" w:hAnsi="宋体"/>
          <w:b/>
          <w:sz w:val="24"/>
        </w:rPr>
      </w:pPr>
      <w:r>
        <w:rPr>
          <w:rFonts w:hint="eastAsia" w:ascii="宋体" w:hAnsi="宋体"/>
          <w:b/>
          <w:sz w:val="24"/>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5、加注★的条款为不可负偏离条款，任一项未响应或不满足要求的，将导致投标无效。</w:t>
      </w:r>
    </w:p>
    <w:p>
      <w:pPr>
        <w:pStyle w:val="321"/>
        <w:ind w:firstLine="0" w:firstLineChars="0"/>
        <w:rPr>
          <w:b/>
        </w:rPr>
      </w:pPr>
    </w:p>
    <w:p>
      <w:pPr>
        <w:pStyle w:val="321"/>
        <w:ind w:firstLine="0" w:firstLineChars="0"/>
        <w:rPr>
          <w:b/>
        </w:rPr>
      </w:pPr>
      <w:r>
        <w:rPr>
          <w:rFonts w:hint="eastAsia"/>
          <w:b/>
        </w:rPr>
        <w:t>一、项目概况</w:t>
      </w:r>
    </w:p>
    <w:p>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知识产权保护类专项资金申报受理评审验收组织工作辅助服务</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200,000.00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（二）项目基本情况</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根据《深圳市市场监督管理局专项资金管理办法》、《深圳市市场监督管理局知识产权领域专项资金操作规程》有关要求，为推动2024年知识产权保护类专项资金申报受理评审验收等各项工作顺利实施，提供资金申报受理、评审、验收、资料归档等工作的辅助服务。</w:t>
      </w:r>
    </w:p>
    <w:p>
      <w:pPr>
        <w:pStyle w:val="506"/>
        <w:wordWrap/>
        <w:spacing w:afterLines="0" w:line="360" w:lineRule="auto"/>
        <w:ind w:firstLine="420"/>
        <w:rPr>
          <w:rFonts w:cs="Times New Roman"/>
          <w:snapToGrid/>
          <w:spacing w:val="0"/>
          <w:sz w:val="21"/>
          <w:szCs w:val="21"/>
        </w:rPr>
      </w:pPr>
    </w:p>
    <w:p>
      <w:pPr>
        <w:pStyle w:val="321"/>
        <w:ind w:firstLine="0" w:firstLineChars="0"/>
        <w:rPr>
          <w:b/>
        </w:rPr>
      </w:pPr>
      <w:r>
        <w:rPr>
          <w:rFonts w:hint="eastAsia"/>
          <w:b/>
        </w:rPr>
        <w:t>二、项目服务要求</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（一）项目服务内容及服务要求</w:t>
      </w:r>
      <w:r>
        <w:rPr>
          <w:rFonts w:hint="eastAsia" w:cs="Times New Roman"/>
          <w:snapToGrid/>
          <w:spacing w:val="0"/>
          <w:sz w:val="21"/>
          <w:szCs w:val="21"/>
        </w:rPr>
        <w:br w:type="textWrapping"/>
      </w:r>
      <w:r>
        <w:rPr>
          <w:rFonts w:hint="eastAsia" w:cs="Times New Roman"/>
          <w:snapToGrid/>
          <w:spacing w:val="0"/>
          <w:sz w:val="21"/>
          <w:szCs w:val="21"/>
        </w:rPr>
        <w:t xml:space="preserve">   1.服务总体要求：</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根据采购人要求提供知识产权保护类专项资金项目申报受理、评审、验收、资料归档等工作的辅助服务。中标人须根据本项目的实际情况，为本项目指定</w:t>
      </w:r>
      <w:r>
        <w:rPr>
          <w:rFonts w:hint="eastAsia" w:cs="Times New Roman"/>
          <w:snapToGrid/>
          <w:spacing w:val="0"/>
          <w:sz w:val="21"/>
          <w:szCs w:val="21"/>
          <w:lang w:val="en-US" w:eastAsia="zh-CN"/>
        </w:rPr>
        <w:t>1名</w:t>
      </w:r>
      <w:r>
        <w:rPr>
          <w:rFonts w:hint="eastAsia" w:cs="Times New Roman"/>
          <w:snapToGrid/>
          <w:spacing w:val="0"/>
          <w:sz w:val="21"/>
          <w:szCs w:val="21"/>
        </w:rPr>
        <w:t>合格的项目负责人，并配备足够人员和技术力量的专门团队</w:t>
      </w:r>
      <w:r>
        <w:rPr>
          <w:rFonts w:hint="eastAsia" w:cs="Times New Roman"/>
          <w:snapToGrid/>
          <w:spacing w:val="0"/>
          <w:sz w:val="21"/>
          <w:szCs w:val="21"/>
          <w:lang w:eastAsia="zh-CN"/>
        </w:rPr>
        <w:t>（</w:t>
      </w:r>
      <w:r>
        <w:rPr>
          <w:rFonts w:hint="eastAsia" w:cs="Times New Roman"/>
          <w:snapToGrid/>
          <w:spacing w:val="0"/>
          <w:sz w:val="21"/>
          <w:szCs w:val="21"/>
          <w:lang w:val="en-US" w:eastAsia="zh-CN"/>
        </w:rPr>
        <w:t>不少于6名</w:t>
      </w:r>
      <w:r>
        <w:rPr>
          <w:rFonts w:hint="eastAsia" w:cs="Times New Roman"/>
          <w:snapToGrid/>
          <w:spacing w:val="0"/>
          <w:sz w:val="21"/>
          <w:szCs w:val="21"/>
          <w:lang w:eastAsia="zh-CN"/>
        </w:rPr>
        <w:t>），其中驻点采购人的工作人员至少1人</w:t>
      </w:r>
      <w:r>
        <w:rPr>
          <w:rFonts w:hint="eastAsia" w:cs="Times New Roman"/>
          <w:snapToGrid/>
          <w:spacing w:val="0"/>
          <w:sz w:val="21"/>
          <w:szCs w:val="21"/>
        </w:rPr>
        <w:t>；为项目配备必要的服务资源；制定科学合理的服务方案及工作计划；负责完成招标要求的全部服务工作；应严格按制定的项目实施方案组织实施，并接受采购人监督，确保项目工作高质量完成；对实施项目过程中接触、知悉的有关信息负有保密义务。</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2.服务标的数量和服务需求：</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 xml:space="preserve">（1）协助整理项目表单、核对评分项；提供申报、验收咨询服务；收集、整理申报、验收材料；协助组织专家抽取与评审，提供会务服务及录音录像（须提供满足采购方需求的会议场地与设备）；收集、整理、印制评审、验收相关材料；核对评审分数；按照档案管理要求将所有资料归档；按采购人要求提供必要时的组织申报单位答辩、现场考察以及其他与项目相关的服务工作等。   </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（2）中标人应配备与开展工作相适应的团队，并指定一名对接人，同时提供满足采购人需求的辅助人员驻点开展工作。</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（3）中标人应根据项目安排，支付因此产生的相关费用，包括但不限于交通费、食宿费、劳务费、场地费、设备购置费、印刷费等。</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（4）中标人需按照工作安排，派项目团队核心人员参加采购人组织的会议，并做好项目全部资料归档和工作交接。</w:t>
      </w:r>
    </w:p>
    <w:p>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（5）中标人在服务期内不得申领</w:t>
      </w:r>
      <w:r>
        <w:rPr>
          <w:rFonts w:hint="eastAsia" w:cs="Times New Roman"/>
          <w:snapToGrid/>
          <w:spacing w:val="0"/>
          <w:sz w:val="21"/>
          <w:szCs w:val="21"/>
          <w:lang w:val="en-US" w:eastAsia="zh-CN"/>
        </w:rPr>
        <w:t>深圳市</w:t>
      </w:r>
      <w:r>
        <w:rPr>
          <w:rFonts w:hint="eastAsia" w:cs="Times New Roman"/>
          <w:snapToGrid/>
          <w:spacing w:val="0"/>
          <w:sz w:val="21"/>
          <w:szCs w:val="21"/>
        </w:rPr>
        <w:t>市场监管局专项资金。</w:t>
      </w:r>
    </w:p>
    <w:p>
      <w:pPr>
        <w:pStyle w:val="321"/>
        <w:ind w:firstLine="0" w:firstLineChars="0"/>
        <w:rPr>
          <w:b/>
        </w:rPr>
      </w:pPr>
    </w:p>
    <w:p>
      <w:pPr>
        <w:pStyle w:val="321"/>
        <w:ind w:firstLine="0" w:firstLineChars="0"/>
        <w:rPr>
          <w:b/>
        </w:rPr>
      </w:pPr>
      <w:r>
        <w:rPr>
          <w:rFonts w:hint="eastAsia"/>
          <w:b/>
        </w:rPr>
        <w:t>三、项目商务要求</w:t>
      </w:r>
    </w:p>
    <w:p>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pPr>
        <w:pStyle w:val="255"/>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highlight w:val="yellow"/>
        </w:rPr>
        <w:t>合同签订之日起至2024年12月10日前完成。</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（二）付款方式：</w:t>
      </w:r>
    </w:p>
    <w:p>
      <w:pPr>
        <w:pStyle w:val="255"/>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bCs/>
        </w:rPr>
        <w:t>采购人在合同签订后，且收到中标人提供符合规定发票后15日内支付合同总额的50%作为首期款，余款按进度验收通过后予以支付。</w:t>
      </w:r>
    </w:p>
    <w:p>
      <w:pPr>
        <w:spacing w:line="360" w:lineRule="auto"/>
        <w:jc w:val="left"/>
        <w:rPr>
          <w:rFonts w:asciiTheme="minorEastAsia" w:hAnsiTheme="minorEastAsia" w:eastAsiaTheme="minorEastAsia"/>
          <w:b/>
        </w:rPr>
      </w:pPr>
      <w:r>
        <w:rPr>
          <w:rFonts w:hint="eastAsia" w:asciiTheme="minorEastAsia" w:hAnsiTheme="minorEastAsia" w:eastAsiaTheme="minorEastAsia"/>
          <w:b/>
        </w:rPr>
        <w:t>（三）知识产权：</w:t>
      </w:r>
    </w:p>
    <w:p>
      <w:pPr>
        <w:spacing w:line="360" w:lineRule="auto"/>
        <w:ind w:firstLine="420" w:firstLineChars="200"/>
        <w:jc w:val="left"/>
        <w:rPr>
          <w:rFonts w:asciiTheme="minorEastAsia" w:hAnsiTheme="minorEastAsia" w:eastAsiaTheme="minorEastAsia"/>
          <w:bCs/>
        </w:rPr>
      </w:pPr>
      <w:r>
        <w:rPr>
          <w:rFonts w:hint="eastAsia" w:asciiTheme="minorEastAsia" w:hAnsiTheme="minorEastAsia" w:eastAsiaTheme="minorEastAsia"/>
          <w:bCs/>
        </w:rPr>
        <w:t>（1）中标人在项目实施过程中不得侵犯第三人知识产权以及其他权益。需要使用第三人知识产权的，中标人应取得权利人许可或者授权并由中标人承担费用。</w:t>
      </w:r>
    </w:p>
    <w:p>
      <w:pPr>
        <w:spacing w:line="360" w:lineRule="auto"/>
        <w:ind w:firstLine="420" w:firstLineChars="200"/>
        <w:jc w:val="left"/>
        <w:rPr>
          <w:rFonts w:ascii="宋体" w:hAnsi="宋体"/>
          <w:szCs w:val="21"/>
        </w:rPr>
      </w:pPr>
      <w:r>
        <w:rPr>
          <w:rFonts w:hint="eastAsia" w:asciiTheme="minorEastAsia" w:hAnsiTheme="minorEastAsia" w:eastAsiaTheme="minorEastAsia"/>
          <w:bCs/>
        </w:rPr>
        <w:t>（2）除第三人依法享有知识产权的除外，中标人实施本项目所形成成果的知识产权归采购人所有，未经采购人许可，中标人不得随意使用。</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（四）报价要求：</w:t>
      </w:r>
    </w:p>
    <w:p>
      <w:pPr>
        <w:pStyle w:val="255"/>
        <w:spacing w:beforeLines="0" w:line="360" w:lineRule="auto"/>
        <w:ind w:firstLine="420"/>
        <w:rPr>
          <w:rFonts w:hint="default" w:asciiTheme="minorEastAsia" w:hAnsiTheme="minorEastAsia" w:eastAsiaTheme="minorEastAsia"/>
          <w:bCs/>
          <w:lang w:val="en-US" w:eastAsia="zh-CN"/>
        </w:rPr>
      </w:pPr>
      <w:r>
        <w:rPr>
          <w:rFonts w:hint="eastAsia" w:asciiTheme="minorEastAsia" w:hAnsiTheme="minorEastAsia" w:eastAsiaTheme="minorEastAsia"/>
          <w:bCs/>
          <w:lang w:eastAsia="zh-CN"/>
        </w:rPr>
        <w:t>（</w:t>
      </w:r>
      <w:r>
        <w:rPr>
          <w:rFonts w:hint="eastAsia" w:asciiTheme="minorEastAsia" w:hAnsiTheme="minorEastAsia" w:eastAsiaTheme="minorEastAsia"/>
          <w:bCs/>
          <w:lang w:val="en-US" w:eastAsia="zh-CN"/>
        </w:rPr>
        <w:t>1</w:t>
      </w:r>
      <w:r>
        <w:rPr>
          <w:rFonts w:hint="eastAsia" w:asciiTheme="minorEastAsia" w:hAnsiTheme="minorEastAsia" w:eastAsiaTheme="minorEastAsia"/>
          <w:bCs/>
          <w:lang w:eastAsia="zh-CN"/>
        </w:rPr>
        <w:t>）</w:t>
      </w:r>
      <w:r>
        <w:rPr>
          <w:rFonts w:hint="eastAsia" w:asciiTheme="minorEastAsia" w:hAnsiTheme="minorEastAsia" w:eastAsiaTheme="minorEastAsia"/>
          <w:bCs/>
          <w:lang w:val="en-US" w:eastAsia="zh-CN"/>
        </w:rPr>
        <w:t>报价形式：</w:t>
      </w:r>
    </w:p>
    <w:p>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①本项目服务费采用包干制，应包括服务成本、法定税费和利润。由投标人根据采购文件所提供的资料自行测算投标报价；一经中标，报价总价作为中标人与采购人签定的合同金额，合同期限内不做调整。</w:t>
      </w:r>
    </w:p>
    <w:p>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②投标人应当根据本单位的成本、利润、税费等情况自行决定报价。</w:t>
      </w:r>
    </w:p>
    <w:p>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③投标人的报价不得超过项目预算金额，否则作投标无效处理。</w:t>
      </w:r>
    </w:p>
    <w:p>
      <w:pPr>
        <w:pStyle w:val="255"/>
        <w:spacing w:beforeLines="0" w:line="360" w:lineRule="auto"/>
        <w:ind w:firstLine="420"/>
        <w:rPr>
          <w:rFonts w:hint="eastAsia" w:asciiTheme="minorEastAsia" w:hAnsiTheme="minorEastAsia" w:eastAsiaTheme="minorEastAsia"/>
          <w:bCs/>
        </w:rPr>
      </w:pPr>
      <w:r>
        <w:rPr>
          <w:rFonts w:hint="eastAsia" w:asciiTheme="minorEastAsia" w:hAnsiTheme="minorEastAsia" w:eastAsiaTheme="minorEastAsia"/>
          <w:bCs/>
        </w:rPr>
        <w:t>④投标人的报价，应当是本项目采购范围和采购文件及合同条款上所列的各项内容中所述的全部，不得以任何理由予以重复。</w:t>
      </w:r>
    </w:p>
    <w:p>
      <w:pPr>
        <w:pStyle w:val="255"/>
        <w:spacing w:beforeLines="0" w:line="360" w:lineRule="auto"/>
        <w:ind w:firstLine="420"/>
        <w:rPr>
          <w:rFonts w:hint="eastAsia" w:asciiTheme="minorEastAsia" w:hAnsiTheme="minorEastAsia" w:eastAsiaTheme="minorEastAsia"/>
          <w:bCs/>
          <w:lang w:val="en-US" w:eastAsia="zh-CN"/>
        </w:rPr>
      </w:pPr>
      <w:r>
        <w:rPr>
          <w:rFonts w:hint="eastAsia" w:asciiTheme="minorEastAsia" w:hAnsiTheme="minorEastAsia" w:eastAsiaTheme="minorEastAsia"/>
          <w:bCs/>
          <w:lang w:val="en-US" w:eastAsia="zh-CN"/>
        </w:rPr>
        <w:t>（2）除非采购人通过修改采购文件予以更正，否则，投标人应毫无例外地按响应文件所列的清单中项目和数量填报综合单价或合价。投标人未填综合单价或合价的项目，在实施后，将不获得支付，并视作该项费用已包括在其它有价款的综合单价或合价内。</w:t>
      </w:r>
    </w:p>
    <w:p>
      <w:pPr>
        <w:pStyle w:val="255"/>
        <w:spacing w:beforeLines="0" w:line="360" w:lineRule="auto"/>
        <w:ind w:firstLine="420"/>
        <w:rPr>
          <w:rFonts w:hint="eastAsia" w:asciiTheme="minorEastAsia" w:hAnsiTheme="minorEastAsia" w:eastAsiaTheme="minorEastAsia"/>
          <w:bCs/>
        </w:rPr>
      </w:pPr>
      <w:r>
        <w:rPr>
          <w:rFonts w:hint="eastAsia" w:asciiTheme="minorEastAsia" w:hAnsiTheme="minorEastAsia" w:eastAsiaTheme="minorEastAsia"/>
          <w:bCs/>
          <w:lang w:val="en-US" w:eastAsia="zh-CN"/>
        </w:rPr>
        <w:t>（3）投标人不得期望通过索赔等方式获取补偿，否则，除可能遭到拒绝外，还可能将被作为不良行为记录在案，并可能影响其以后参加政府采购的项目投标。各投标人在报价时，应充分考虑报价的风险。</w:t>
      </w:r>
    </w:p>
    <w:p>
      <w:pPr>
        <w:spacing w:line="360" w:lineRule="auto"/>
        <w:jc w:val="left"/>
        <w:rPr>
          <w:rFonts w:ascii="宋体" w:hAnsi="宋体"/>
          <w:szCs w:val="21"/>
        </w:rPr>
      </w:pPr>
      <w:r>
        <w:rPr>
          <w:rFonts w:hint="eastAsia" w:ascii="宋体" w:hAnsi="宋体"/>
          <w:b/>
          <w:bCs/>
          <w:szCs w:val="21"/>
        </w:rPr>
        <w:t>（五）验收内容及标准：</w:t>
      </w:r>
    </w:p>
    <w:p>
      <w:pPr>
        <w:spacing w:line="360" w:lineRule="auto"/>
        <w:ind w:firstLine="420" w:firstLineChars="200"/>
        <w:jc w:val="left"/>
        <w:rPr>
          <w:rFonts w:ascii="宋体" w:hAnsi="宋体"/>
          <w:szCs w:val="21"/>
        </w:rPr>
      </w:pPr>
      <w:r>
        <w:rPr>
          <w:rFonts w:hint="eastAsia" w:ascii="宋体" w:hAnsi="宋体"/>
          <w:szCs w:val="21"/>
        </w:rPr>
        <w:t>（1）采购人以采购项目的招标文件、投标文件、采购合同作为验收依据，按照采购合同的约定逐项核对技术、服务、安全标准的履约情况并确认；</w:t>
      </w:r>
    </w:p>
    <w:p>
      <w:pPr>
        <w:spacing w:line="360" w:lineRule="auto"/>
        <w:ind w:firstLine="420" w:firstLineChars="200"/>
        <w:jc w:val="left"/>
        <w:rPr>
          <w:rFonts w:ascii="宋体" w:hAnsi="宋体"/>
          <w:szCs w:val="21"/>
        </w:rPr>
      </w:pPr>
      <w:r>
        <w:rPr>
          <w:rFonts w:hint="eastAsia" w:ascii="宋体" w:hAnsi="宋体"/>
          <w:szCs w:val="21"/>
        </w:rPr>
        <w:t>（2）本项目具体验收内容及标准：</w:t>
      </w:r>
    </w:p>
    <w:p>
      <w:pPr>
        <w:spacing w:line="360" w:lineRule="auto"/>
        <w:ind w:firstLine="630" w:firstLineChars="300"/>
        <w:jc w:val="left"/>
        <w:rPr>
          <w:rFonts w:ascii="宋体" w:hAnsi="宋体"/>
          <w:szCs w:val="21"/>
        </w:rPr>
      </w:pPr>
      <w:r>
        <w:rPr>
          <w:rFonts w:hint="eastAsia" w:ascii="宋体" w:hAnsi="宋体"/>
          <w:szCs w:val="21"/>
        </w:rPr>
        <w:t>a.通过初审的全部项目申报材料、事中项目验收材料，及专家抽取、评审、验收过程全套材料，就上述成果，过程中涉及纸质原件材料的，中标人应及时移交，并提交全过程电子版材料 1 套（含图片、音视频等）。</w:t>
      </w:r>
    </w:p>
    <w:p>
      <w:pPr>
        <w:spacing w:line="360" w:lineRule="auto"/>
        <w:ind w:firstLine="630" w:firstLineChars="300"/>
        <w:jc w:val="left"/>
        <w:rPr>
          <w:rFonts w:ascii="宋体" w:hAnsi="宋体"/>
          <w:szCs w:val="21"/>
        </w:rPr>
      </w:pPr>
      <w:r>
        <w:rPr>
          <w:rFonts w:hint="eastAsia" w:ascii="宋体" w:hAnsi="宋体"/>
          <w:szCs w:val="21"/>
        </w:rPr>
        <w:t>b.按照档案管理要求将所有资料归档，提供完整的档案及目录。</w:t>
      </w:r>
    </w:p>
    <w:p>
      <w:pPr>
        <w:spacing w:line="360" w:lineRule="auto"/>
        <w:ind w:firstLine="630" w:firstLineChars="300"/>
        <w:jc w:val="left"/>
        <w:rPr>
          <w:rFonts w:ascii="宋体" w:hAnsi="宋体"/>
          <w:szCs w:val="21"/>
        </w:rPr>
      </w:pPr>
      <w:r>
        <w:rPr>
          <w:rFonts w:hint="eastAsia" w:ascii="宋体" w:hAnsi="宋体"/>
          <w:szCs w:val="21"/>
        </w:rPr>
        <w:t>c.项目完成情况总结报告纸质件、电子件各1份。</w:t>
      </w:r>
    </w:p>
    <w:p>
      <w:pPr>
        <w:spacing w:line="360" w:lineRule="auto"/>
        <w:jc w:val="left"/>
        <w:rPr>
          <w:rFonts w:ascii="宋体" w:hAnsi="宋体"/>
          <w:szCs w:val="21"/>
        </w:rPr>
      </w:pPr>
      <w:r>
        <w:rPr>
          <w:rFonts w:hint="eastAsia" w:ascii="宋体" w:hAnsi="宋体"/>
          <w:b/>
          <w:bCs/>
          <w:szCs w:val="21"/>
        </w:rPr>
        <w:t>（六）违约责任：</w:t>
      </w:r>
    </w:p>
    <w:p>
      <w:pPr>
        <w:spacing w:line="360" w:lineRule="auto"/>
        <w:ind w:firstLine="420" w:firstLineChars="200"/>
        <w:jc w:val="left"/>
        <w:rPr>
          <w:rFonts w:ascii="宋体" w:hAnsi="宋体"/>
          <w:szCs w:val="21"/>
        </w:rPr>
      </w:pPr>
      <w:r>
        <w:rPr>
          <w:rFonts w:hint="eastAsia" w:ascii="宋体" w:hAnsi="宋体"/>
          <w:szCs w:val="21"/>
        </w:rPr>
        <w:t>（1）中标供应商未在约定期限内完成项目内容并提交成果的，每延迟一</w:t>
      </w:r>
      <w:r>
        <w:rPr>
          <w:rFonts w:hint="eastAsia" w:ascii="宋体" w:hAnsi="宋体"/>
          <w:szCs w:val="21"/>
          <w:lang w:val="en-US" w:eastAsia="zh-CN"/>
        </w:rPr>
        <w:t>个工作</w:t>
      </w:r>
      <w:r>
        <w:rPr>
          <w:rFonts w:hint="eastAsia" w:ascii="宋体" w:hAnsi="宋体"/>
          <w:szCs w:val="21"/>
        </w:rPr>
        <w:t>日按照合同总金额千分之一的标准向甲方支付违约金。延迟超过十</w:t>
      </w:r>
      <w:r>
        <w:rPr>
          <w:rFonts w:hint="eastAsia" w:ascii="宋体" w:hAnsi="宋体"/>
          <w:szCs w:val="21"/>
          <w:lang w:val="en-US" w:eastAsia="zh-CN"/>
        </w:rPr>
        <w:t>个工作</w:t>
      </w:r>
      <w:r>
        <w:rPr>
          <w:rFonts w:hint="eastAsia" w:ascii="宋体" w:hAnsi="宋体"/>
          <w:szCs w:val="21"/>
        </w:rPr>
        <w:t>日的，采购人有权解除合同并要求中标供应商返还已经支付的款项，未支付的不再支付。</w:t>
      </w:r>
    </w:p>
    <w:p>
      <w:pPr>
        <w:spacing w:line="360" w:lineRule="auto"/>
        <w:ind w:firstLine="420" w:firstLineChars="200"/>
        <w:jc w:val="left"/>
        <w:rPr>
          <w:rFonts w:ascii="宋体" w:hAnsi="宋体"/>
          <w:szCs w:val="21"/>
        </w:rPr>
      </w:pPr>
      <w:r>
        <w:rPr>
          <w:rFonts w:hint="eastAsia" w:ascii="宋体" w:hAnsi="宋体"/>
          <w:szCs w:val="21"/>
        </w:rPr>
        <w:t>（2）中标供应商交付的成果验收不合格的，经采购人要求整改再次验收仍不合格的或中标供应商提交的成果存在虚假、违法违规、重大错误的，采购人有权立即解除合同、要求中标供应商返还已经支付的款项并支付合同总额20%的违约金。</w:t>
      </w:r>
    </w:p>
    <w:p>
      <w:pPr>
        <w:spacing w:line="360" w:lineRule="auto"/>
        <w:ind w:firstLine="420" w:firstLineChars="200"/>
        <w:jc w:val="left"/>
        <w:rPr>
          <w:rFonts w:ascii="宋体" w:hAnsi="宋体"/>
          <w:szCs w:val="21"/>
        </w:rPr>
      </w:pPr>
      <w:r>
        <w:rPr>
          <w:rFonts w:hint="eastAsia" w:ascii="宋体" w:hAnsi="宋体"/>
          <w:szCs w:val="21"/>
        </w:rPr>
        <w:t>（3）因中标供应商实施本项目过程中侵犯第三人合法权益或者违约导致采购人承担赔偿责任的，采购人有权向中标供应商追偿并有权解除合同、要求中标供应商返还已经支付的款项并支付合同总额20%的违约金。</w:t>
      </w:r>
    </w:p>
    <w:p>
      <w:pPr>
        <w:spacing w:line="360" w:lineRule="auto"/>
        <w:ind w:firstLine="420" w:firstLineChars="200"/>
        <w:jc w:val="left"/>
        <w:rPr>
          <w:rFonts w:ascii="宋体" w:hAnsi="宋体"/>
          <w:szCs w:val="21"/>
        </w:rPr>
      </w:pPr>
      <w:r>
        <w:rPr>
          <w:rFonts w:hint="eastAsia" w:ascii="宋体" w:hAnsi="宋体"/>
          <w:szCs w:val="21"/>
        </w:rPr>
        <w:t>（4）中标供应商签订合同后，实际配备的工作人员与投标文件的承诺不一致的，或实施本项目时已不符合招标文件要求的，采购人有权解除合同，并要求中标供应商返向采购人支付合同总额20%的违约金。</w:t>
      </w:r>
    </w:p>
    <w:p>
      <w:pPr>
        <w:spacing w:line="360" w:lineRule="auto"/>
        <w:ind w:firstLine="420" w:firstLineChars="200"/>
        <w:jc w:val="left"/>
        <w:rPr>
          <w:rFonts w:ascii="宋体" w:hAnsi="宋体"/>
          <w:szCs w:val="21"/>
        </w:rPr>
      </w:pPr>
      <w:r>
        <w:rPr>
          <w:rFonts w:hint="eastAsia" w:ascii="宋体" w:hAnsi="宋体"/>
          <w:szCs w:val="21"/>
        </w:rPr>
        <w:t>（5）中标供应商无正当理由解除合同的，应向采购人支付合同总额20%的违约金。</w:t>
      </w:r>
    </w:p>
    <w:p>
      <w:pPr>
        <w:spacing w:line="360" w:lineRule="auto"/>
        <w:ind w:firstLine="420" w:firstLineChars="200"/>
        <w:jc w:val="left"/>
        <w:rPr>
          <w:rFonts w:ascii="宋体" w:hAnsi="宋体"/>
          <w:szCs w:val="21"/>
        </w:rPr>
      </w:pPr>
      <w:r>
        <w:rPr>
          <w:rFonts w:hint="eastAsia" w:ascii="宋体" w:hAnsi="宋体"/>
          <w:szCs w:val="21"/>
        </w:rPr>
        <w:t>（6）中标供应商违反本需求知识产权相关内容的，应向采购人支付合同总额20%的违约金。</w:t>
      </w:r>
    </w:p>
    <w:p>
      <w:pPr>
        <w:spacing w:line="360" w:lineRule="auto"/>
        <w:ind w:firstLine="420" w:firstLineChars="200"/>
        <w:jc w:val="left"/>
        <w:rPr>
          <w:rFonts w:ascii="宋体" w:hAnsi="宋体"/>
          <w:szCs w:val="21"/>
        </w:rPr>
      </w:pPr>
      <w:r>
        <w:rPr>
          <w:rFonts w:hint="eastAsia" w:ascii="宋体" w:hAnsi="宋体"/>
          <w:szCs w:val="21"/>
        </w:rPr>
        <w:t>（7）未经采购人同意，中标供应商将本合同项目的任务全部或者一部分转委托给第三人，采购人有权解除合同、要求中标供应商返还已经支付的款项并支付合同总额20%的违约金。</w:t>
      </w:r>
    </w:p>
    <w:p>
      <w:pPr>
        <w:spacing w:line="360" w:lineRule="auto"/>
        <w:ind w:firstLine="420" w:firstLineChars="200"/>
        <w:jc w:val="left"/>
        <w:rPr>
          <w:rFonts w:ascii="宋体" w:hAnsi="宋体"/>
          <w:szCs w:val="21"/>
        </w:rPr>
      </w:pPr>
      <w:r>
        <w:rPr>
          <w:rFonts w:hint="eastAsia" w:ascii="宋体" w:hAnsi="宋体"/>
          <w:szCs w:val="21"/>
        </w:rPr>
        <w:t>（8）采购人违约的，应按照民法典有关规定承担违约责任。</w:t>
      </w:r>
    </w:p>
    <w:p>
      <w:pPr>
        <w:spacing w:line="360" w:lineRule="auto"/>
        <w:jc w:val="left"/>
        <w:rPr>
          <w:rFonts w:ascii="宋体" w:hAnsi="宋体"/>
          <w:szCs w:val="21"/>
        </w:rPr>
      </w:pPr>
      <w:r>
        <w:rPr>
          <w:rFonts w:hint="eastAsia" w:ascii="宋体" w:hAnsi="宋体"/>
          <w:b/>
          <w:bCs/>
          <w:szCs w:val="21"/>
        </w:rPr>
        <w:t>（七）售后服务：</w:t>
      </w:r>
    </w:p>
    <w:p>
      <w:pPr>
        <w:spacing w:line="360" w:lineRule="auto"/>
        <w:ind w:firstLine="420" w:firstLineChars="200"/>
        <w:jc w:val="left"/>
        <w:rPr>
          <w:rFonts w:ascii="宋体" w:hAnsi="宋体"/>
          <w:szCs w:val="21"/>
        </w:rPr>
      </w:pPr>
      <w:r>
        <w:rPr>
          <w:rFonts w:hint="eastAsia" w:ascii="宋体" w:hAnsi="宋体"/>
          <w:szCs w:val="21"/>
        </w:rPr>
        <w:t>中标供应商在服务期满一年内需在采购人有需要时负责对本项目相关情况进行解释、说明，提供相应的修正服务。</w:t>
      </w:r>
    </w:p>
    <w:p>
      <w:pPr>
        <w:spacing w:line="360" w:lineRule="auto"/>
        <w:jc w:val="left"/>
        <w:rPr>
          <w:rFonts w:ascii="宋体" w:hAnsi="宋体"/>
          <w:szCs w:val="21"/>
        </w:rPr>
      </w:pPr>
      <w:r>
        <w:rPr>
          <w:rFonts w:hint="eastAsia" w:ascii="宋体" w:hAnsi="宋体"/>
          <w:b/>
          <w:bCs/>
          <w:szCs w:val="21"/>
        </w:rPr>
        <w:t>（八）解决争议的方法：</w:t>
      </w:r>
    </w:p>
    <w:p>
      <w:pPr>
        <w:spacing w:line="360" w:lineRule="auto"/>
        <w:ind w:firstLine="420" w:firstLineChars="200"/>
        <w:jc w:val="left"/>
        <w:rPr>
          <w:rFonts w:ascii="宋体" w:hAnsi="宋体"/>
          <w:szCs w:val="21"/>
        </w:rPr>
      </w:pPr>
      <w:r>
        <w:rPr>
          <w:rFonts w:hint="eastAsia" w:ascii="宋体" w:hAnsi="宋体"/>
          <w:szCs w:val="21"/>
        </w:rPr>
        <w:t>（1）双方因履行本项目发生争议的，可协商解决，无法协商解决的应向采购人住所地有管辖权的人民法院提起诉讼。</w:t>
      </w:r>
    </w:p>
    <w:p>
      <w:pPr>
        <w:spacing w:line="360" w:lineRule="auto"/>
        <w:ind w:firstLine="420" w:firstLineChars="200"/>
        <w:jc w:val="left"/>
        <w:rPr>
          <w:rFonts w:ascii="宋体" w:hAnsi="宋体"/>
          <w:szCs w:val="21"/>
        </w:rPr>
      </w:pPr>
      <w:r>
        <w:rPr>
          <w:rFonts w:hint="eastAsia" w:ascii="宋体" w:hAnsi="宋体"/>
          <w:szCs w:val="21"/>
        </w:rPr>
        <w:t>（2）诉讼进行过程中，双方将继续履行本项目未涉诉讼的其它部分。</w:t>
      </w:r>
    </w:p>
    <w:p>
      <w:pPr>
        <w:spacing w:line="360" w:lineRule="auto"/>
        <w:jc w:val="left"/>
        <w:rPr>
          <w:rFonts w:ascii="宋体" w:hAnsi="宋体"/>
          <w:szCs w:val="21"/>
        </w:rPr>
      </w:pPr>
    </w:p>
    <w:p>
      <w:pPr>
        <w:pStyle w:val="456"/>
        <w:spacing w:before="0" w:beforeAutospacing="0" w:after="0" w:afterAutospacing="0" w:line="360" w:lineRule="auto"/>
        <w:rPr>
          <w:sz w:val="21"/>
          <w:szCs w:val="21"/>
        </w:rPr>
      </w:pPr>
    </w:p>
    <w:p>
      <w:pPr>
        <w:pStyle w:val="456"/>
        <w:spacing w:before="0" w:beforeAutospacing="0" w:after="0" w:afterAutospacing="0" w:line="360" w:lineRule="auto"/>
        <w:rPr>
          <w:sz w:val="21"/>
          <w:szCs w:val="21"/>
        </w:rPr>
      </w:pPr>
    </w:p>
    <w:p>
      <w:pPr>
        <w:pStyle w:val="456"/>
        <w:spacing w:before="0" w:beforeAutospacing="0" w:after="0" w:afterAutospacing="0" w:line="360" w:lineRule="auto"/>
        <w:rPr>
          <w:sz w:val="21"/>
          <w:szCs w:val="21"/>
        </w:rPr>
      </w:pPr>
    </w:p>
    <w:p>
      <w:pPr>
        <w:pStyle w:val="456"/>
        <w:spacing w:before="0" w:beforeAutospacing="0" w:after="0" w:afterAutospacing="0" w:line="360" w:lineRule="auto"/>
        <w:rPr>
          <w:sz w:val="21"/>
          <w:szCs w:val="21"/>
        </w:rPr>
      </w:pPr>
    </w:p>
    <w:p>
      <w:pPr>
        <w:pStyle w:val="456"/>
        <w:spacing w:before="0" w:beforeAutospacing="0" w:after="0" w:afterAutospacing="0" w:line="360" w:lineRule="auto"/>
        <w:rPr>
          <w:sz w:val="21"/>
          <w:szCs w:val="21"/>
        </w:rPr>
      </w:pPr>
    </w:p>
    <w:p>
      <w:pPr>
        <w:pStyle w:val="456"/>
        <w:spacing w:before="0" w:beforeAutospacing="0" w:after="0" w:afterAutospacing="0" w:line="360" w:lineRule="auto"/>
        <w:rPr>
          <w:sz w:val="21"/>
          <w:szCs w:val="21"/>
        </w:rPr>
      </w:pPr>
    </w:p>
    <w:p>
      <w:pPr>
        <w:pStyle w:val="456"/>
        <w:spacing w:before="0" w:beforeAutospacing="0" w:after="0" w:afterAutospacing="0" w:line="360" w:lineRule="auto"/>
        <w:rPr>
          <w:sz w:val="21"/>
          <w:szCs w:val="21"/>
        </w:rPr>
      </w:pPr>
    </w:p>
    <w:p>
      <w:pPr>
        <w:pStyle w:val="456"/>
        <w:spacing w:before="0" w:beforeAutospacing="0" w:after="0" w:afterAutospacing="0" w:line="360" w:lineRule="auto"/>
        <w:rPr>
          <w:sz w:val="21"/>
          <w:szCs w:val="21"/>
        </w:rPr>
      </w:pPr>
    </w:p>
    <w:p>
      <w:pPr>
        <w:rPr>
          <w:szCs w:val="21"/>
        </w:rPr>
      </w:pPr>
      <w:r>
        <w:rPr>
          <w:szCs w:val="21"/>
        </w:rPr>
        <w:br w:type="page"/>
      </w:r>
    </w:p>
    <w:p>
      <w:pPr>
        <w:pStyle w:val="456"/>
        <w:spacing w:before="0" w:beforeAutospacing="0" w:after="0" w:afterAutospacing="0" w:line="360" w:lineRule="auto"/>
        <w:rPr>
          <w:sz w:val="21"/>
          <w:szCs w:val="21"/>
        </w:rPr>
      </w:pPr>
    </w:p>
    <w:p>
      <w:pPr>
        <w:pStyle w:val="3"/>
      </w:pPr>
      <w:bookmarkStart w:id="2" w:name="_Toc135293161"/>
      <w:r>
        <w:rPr>
          <w:rFonts w:hint="eastAsia"/>
        </w:rPr>
        <w:t>第三章  投标文件初审</w:t>
      </w:r>
      <w:bookmarkEnd w:id="2"/>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请评委重点审查供应商是否存在《深圳经济特区政府采购条例实施细则》第七十五条规定的串通投标情形：</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pPr>
        <w:adjustRightInd w:val="0"/>
        <w:spacing w:line="360" w:lineRule="auto"/>
        <w:rPr>
          <w:snapToGrid w:val="0"/>
          <w:kern w:val="0"/>
        </w:rPr>
      </w:pPr>
    </w:p>
    <w:p>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6、投标报价有严重缺漏项的。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p>
    <w:p/>
    <w:p/>
    <w:p/>
    <w:p/>
    <w:p/>
    <w:p/>
    <w:p/>
    <w:p/>
    <w:p/>
    <w:p/>
    <w:p/>
    <w:p/>
    <w:p/>
    <w:p/>
    <w:p/>
    <w:p/>
    <w:p/>
    <w:p/>
    <w:p/>
    <w:p/>
    <w:p/>
    <w:p/>
    <w:p/>
    <w:p/>
    <w:p/>
    <w:p/>
    <w:p/>
    <w:p/>
    <w:p/>
    <w:p/>
    <w:p/>
    <w:p/>
    <w:p/>
    <w:p/>
    <w:p/>
    <w:p/>
    <w:p/>
    <w:p/>
    <w:p/>
    <w:p/>
    <w:p/>
    <w:p>
      <w:pPr>
        <w:pStyle w:val="3"/>
        <w:spacing w:after="0"/>
      </w:pPr>
      <w:bookmarkStart w:id="3" w:name="_Toc135293162"/>
      <w:r>
        <w:rPr>
          <w:rFonts w:hint="eastAsia"/>
        </w:rPr>
        <w:t>第四章  评标方法和标准</w:t>
      </w:r>
      <w:bookmarkEnd w:id="3"/>
    </w:p>
    <w:p/>
    <w:p>
      <w:pPr>
        <w:pStyle w:val="2"/>
        <w:spacing w:before="0" w:after="0"/>
      </w:pPr>
      <w:bookmarkStart w:id="4" w:name="_Toc135293163"/>
      <w:bookmarkStart w:id="5" w:name="_Toc44690429"/>
      <w:bookmarkStart w:id="6" w:name="_Toc44691161"/>
      <w:bookmarkStart w:id="7" w:name="_Toc44691393"/>
      <w:bookmarkStart w:id="8" w:name="_Toc44690702"/>
      <w:r>
        <w:rPr>
          <w:rFonts w:hint="eastAsia"/>
        </w:rPr>
        <w:t>一、</w:t>
      </w:r>
      <w:r>
        <w:t>评标方法</w:t>
      </w:r>
      <w:bookmarkEnd w:id="4"/>
      <w:bookmarkEnd w:id="5"/>
      <w:bookmarkEnd w:id="6"/>
      <w:bookmarkEnd w:id="7"/>
      <w:bookmarkEnd w:id="8"/>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作为候选中标供应商。</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2"/>
        <w:spacing w:before="0" w:after="0"/>
      </w:pPr>
      <w:bookmarkStart w:id="9" w:name="_Toc135293164"/>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pPr>
              <w:widowControl/>
              <w:spacing w:line="360" w:lineRule="exact"/>
              <w:jc w:val="center"/>
              <w:rPr>
                <w:rFonts w:ascii="宋体" w:hAnsi="宋体"/>
                <w:kern w:val="0"/>
                <w:szCs w:val="21"/>
              </w:rPr>
            </w:pPr>
            <w:r>
              <w:rPr>
                <w:rFonts w:hint="eastAsia" w:ascii="宋体" w:hAnsi="宋体"/>
                <w:kern w:val="0"/>
                <w:szCs w:val="21"/>
              </w:rPr>
              <w:t>实施方案</w:t>
            </w:r>
          </w:p>
        </w:tc>
        <w:tc>
          <w:tcPr>
            <w:tcW w:w="709" w:type="dxa"/>
            <w:vAlign w:val="center"/>
          </w:tcPr>
          <w:p>
            <w:pPr>
              <w:widowControl/>
              <w:spacing w:line="360" w:lineRule="exact"/>
              <w:jc w:val="center"/>
              <w:rPr>
                <w:rFonts w:ascii="宋体" w:hAnsi="宋体"/>
                <w:kern w:val="0"/>
                <w:szCs w:val="21"/>
              </w:rPr>
            </w:pPr>
            <w:r>
              <w:rPr>
                <w:rFonts w:hint="eastAsia" w:ascii="宋体" w:hAnsi="宋体" w:cs="宋体"/>
                <w:kern w:val="0"/>
                <w:szCs w:val="21"/>
              </w:rPr>
              <w:t>15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考察投标人提供的项目</w:t>
            </w:r>
            <w:r>
              <w:rPr>
                <w:rFonts w:hint="eastAsia" w:ascii="宋体" w:hAnsi="宋体"/>
                <w:kern w:val="0"/>
                <w:szCs w:val="21"/>
              </w:rPr>
              <w:t>实施方案</w:t>
            </w:r>
            <w:r>
              <w:rPr>
                <w:rFonts w:hint="eastAsia" w:asciiTheme="minorEastAsia" w:hAnsiTheme="minorEastAsia" w:eastAsiaTheme="minorEastAsia"/>
                <w:kern w:val="0"/>
                <w:szCs w:val="21"/>
              </w:rPr>
              <w:t>，包含以下内容：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1.实施总体思路；</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2.实施方法、流程及内容；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3.工作进度安排；</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4.项目成果交付；</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5.工作保障及后续服务。</w:t>
            </w:r>
          </w:p>
          <w:p>
            <w:pPr>
              <w:autoSpaceDE w:val="0"/>
              <w:autoSpaceDN w:val="0"/>
              <w:adjustRightInd w:val="0"/>
              <w:spacing w:line="360" w:lineRule="exact"/>
              <w:jc w:val="left"/>
              <w:rPr>
                <w:rFonts w:ascii="宋体" w:hAnsi="宋体"/>
                <w:kern w:val="0"/>
                <w:szCs w:val="21"/>
              </w:rPr>
            </w:pP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方案包含以上五项内容得10分；包含以上四项内容得8分；包含以上三项内容得6分；包含以上二项内容得4分；包含以上一项内容得2分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其他情况不得分。在此基础上，根据方案响应情况进一步评审：</w:t>
            </w:r>
          </w:p>
          <w:p>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1.实施方案内容具体、针对性强、科学合理、可操作性强的，加5分；</w:t>
            </w:r>
          </w:p>
          <w:p>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2.实施方案内容较具体、针对性较强、较科学合理、可操作性较强的，加3分；</w:t>
            </w:r>
          </w:p>
          <w:p>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3.实施方案内容具体性一般、针对性一般、科学合理性一般、可操作性一般的，加1分；</w:t>
            </w:r>
          </w:p>
          <w:p>
            <w:pPr>
              <w:pStyle w:val="94"/>
              <w:spacing w:line="360" w:lineRule="exact"/>
              <w:ind w:firstLine="0" w:firstLineChars="0"/>
              <w:rPr>
                <w:rFonts w:ascii="宋体" w:hAnsi="宋体"/>
                <w:kern w:val="0"/>
                <w:szCs w:val="21"/>
              </w:rPr>
            </w:pPr>
            <w:r>
              <w:rPr>
                <w:rFonts w:hint="eastAsia" w:asciiTheme="minorEastAsia" w:hAnsiTheme="minorEastAsia" w:eastAsiaTheme="minorEastAsia"/>
                <w:szCs w:val="21"/>
              </w:rPr>
              <w:t>4.实施方案内容不全、无针对性、科学合理性低、可操作性低的，不加分。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widowControl/>
              <w:spacing w:line="360" w:lineRule="exact"/>
              <w:jc w:val="center"/>
              <w:rPr>
                <w:rFonts w:ascii="宋体" w:hAnsi="宋体"/>
                <w:kern w:val="0"/>
                <w:szCs w:val="21"/>
              </w:rPr>
            </w:pPr>
            <w:r>
              <w:rPr>
                <w:rFonts w:hint="eastAsia" w:ascii="宋体" w:hAnsi="宋体"/>
                <w:szCs w:val="21"/>
              </w:rPr>
              <w:t>项目重点难点分析、应对措施及相关的合理化建议</w:t>
            </w:r>
          </w:p>
        </w:tc>
        <w:tc>
          <w:tcPr>
            <w:tcW w:w="709" w:type="dxa"/>
            <w:vAlign w:val="center"/>
          </w:tcPr>
          <w:p>
            <w:pPr>
              <w:widowControl/>
              <w:spacing w:line="360" w:lineRule="exact"/>
              <w:jc w:val="center"/>
              <w:rPr>
                <w:rFonts w:ascii="宋体" w:hAnsi="宋体"/>
                <w:kern w:val="0"/>
                <w:szCs w:val="21"/>
              </w:rPr>
            </w:pPr>
            <w:r>
              <w:rPr>
                <w:rFonts w:hint="eastAsia" w:ascii="宋体" w:hAnsi="宋体"/>
                <w:szCs w:val="21"/>
              </w:rPr>
              <w:t>15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宋体" w:hAnsi="宋体"/>
                <w:szCs w:val="21"/>
              </w:rPr>
              <w:t>项目重点难点分析、应对措施及相关的合理化建议</w:t>
            </w:r>
            <w:r>
              <w:rPr>
                <w:rFonts w:hint="eastAsia" w:asciiTheme="minorEastAsia" w:hAnsiTheme="minorEastAsia" w:eastAsiaTheme="minorEastAsia"/>
                <w:kern w:val="0"/>
                <w:szCs w:val="21"/>
              </w:rPr>
              <w:t>，包含以下内容：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1.项目重点难点分析；</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2.项目重点难点应对措施；</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3.项目重点难点相关合理化建议。</w:t>
            </w:r>
          </w:p>
          <w:p>
            <w:pPr>
              <w:widowControl/>
              <w:snapToGrid w:val="0"/>
              <w:spacing w:line="360" w:lineRule="exact"/>
              <w:jc w:val="left"/>
              <w:rPr>
                <w:rFonts w:ascii="宋体" w:hAnsi="宋体"/>
                <w:kern w:val="0"/>
                <w:szCs w:val="21"/>
              </w:rPr>
            </w:pPr>
          </w:p>
          <w:p>
            <w:pPr>
              <w:widowControl/>
              <w:snapToGrid w:val="0"/>
              <w:spacing w:line="360" w:lineRule="exact"/>
              <w:jc w:val="left"/>
              <w:rPr>
                <w:rFonts w:ascii="宋体" w:hAnsi="宋体"/>
                <w:kern w:val="0"/>
                <w:szCs w:val="21"/>
              </w:rPr>
            </w:pPr>
            <w:r>
              <w:rPr>
                <w:rFonts w:hint="eastAsia" w:ascii="宋体" w:hAnsi="宋体"/>
                <w:kern w:val="0"/>
                <w:szCs w:val="21"/>
              </w:rPr>
              <w:t>（二）评分标准：</w:t>
            </w:r>
          </w:p>
          <w:p>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方案包含以上三项内容得9分；包含以上二项内容得6分；包含以上一项内容得3分；其他情况不得分。在此基础上，根据方案响应情况进一步评审：</w:t>
            </w:r>
          </w:p>
          <w:p>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1.项目重难点分析内容具体、针对性强、科学合理、可操作性强的，加6分；</w:t>
            </w:r>
          </w:p>
          <w:p>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2.项目重难点分析内容较具体、针对性较强、较科学合理、可操作性较强的，加4分；</w:t>
            </w:r>
          </w:p>
          <w:p>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3.项目重难点分析内容具体性一般、针对性一般、科学合理性一般、可操作性一般的，加2分；</w:t>
            </w:r>
          </w:p>
          <w:p>
            <w:pPr>
              <w:autoSpaceDE w:val="0"/>
              <w:autoSpaceDN w:val="0"/>
              <w:adjustRightInd w:val="0"/>
              <w:spacing w:line="360" w:lineRule="exact"/>
              <w:rPr>
                <w:rFonts w:ascii="宋体" w:hAnsi="宋体" w:cs="宋体"/>
                <w:szCs w:val="21"/>
              </w:rPr>
            </w:pPr>
            <w:r>
              <w:rPr>
                <w:rFonts w:hint="eastAsia" w:asciiTheme="minorEastAsia" w:hAnsiTheme="minorEastAsia" w:eastAsiaTheme="minorEastAsia"/>
                <w:szCs w:val="21"/>
              </w:rPr>
              <w:t>4.项目重难点分析内容不全、无针对性、科学合理性低、可操作性低的，不加分。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4"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3</w:t>
            </w:r>
          </w:p>
        </w:tc>
        <w:tc>
          <w:tcPr>
            <w:tcW w:w="1143" w:type="dxa"/>
            <w:vAlign w:val="center"/>
          </w:tcPr>
          <w:p>
            <w:pPr>
              <w:widowControl/>
              <w:spacing w:line="360" w:lineRule="exact"/>
              <w:jc w:val="center"/>
              <w:rPr>
                <w:rFonts w:ascii="宋体" w:hAnsi="宋体"/>
                <w:kern w:val="0"/>
                <w:szCs w:val="21"/>
              </w:rPr>
            </w:pPr>
            <w:r>
              <w:rPr>
                <w:rFonts w:hint="eastAsia" w:ascii="宋体" w:hAnsi="宋体"/>
                <w:kern w:val="0"/>
                <w:szCs w:val="21"/>
              </w:rPr>
              <w:t>质量（完成时间、安全、环保）保障措施及方案</w:t>
            </w:r>
          </w:p>
        </w:tc>
        <w:tc>
          <w:tcPr>
            <w:tcW w:w="709" w:type="dxa"/>
            <w:vAlign w:val="center"/>
          </w:tcPr>
          <w:p>
            <w:pPr>
              <w:widowControl/>
              <w:spacing w:line="360" w:lineRule="exact"/>
              <w:jc w:val="center"/>
              <w:rPr>
                <w:rFonts w:ascii="宋体" w:hAnsi="宋体"/>
                <w:kern w:val="0"/>
                <w:szCs w:val="21"/>
              </w:rPr>
            </w:pPr>
            <w:r>
              <w:rPr>
                <w:rFonts w:hint="eastAsia" w:ascii="宋体" w:hAnsi="宋体"/>
                <w:kern w:val="0"/>
                <w:szCs w:val="21"/>
              </w:rPr>
              <w:t>15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宋体" w:hAnsi="宋体"/>
                <w:szCs w:val="21"/>
              </w:rPr>
              <w:t>质量保障措施及方案</w:t>
            </w:r>
            <w:r>
              <w:rPr>
                <w:rFonts w:hint="eastAsia" w:asciiTheme="minorEastAsia" w:hAnsiTheme="minorEastAsia" w:eastAsiaTheme="minorEastAsia"/>
                <w:kern w:val="0"/>
                <w:szCs w:val="21"/>
              </w:rPr>
              <w:t>，包含以下内容：</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1.项目工作进度、完成时间保障措施；</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2.项目实施安全保障措施；</w:t>
            </w:r>
          </w:p>
          <w:p>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3.项目完成质量保障措施。</w:t>
            </w:r>
          </w:p>
          <w:p>
            <w:pPr>
              <w:widowControl/>
              <w:snapToGrid w:val="0"/>
              <w:spacing w:line="360" w:lineRule="exact"/>
              <w:jc w:val="left"/>
              <w:rPr>
                <w:rFonts w:ascii="宋体" w:hAnsi="宋体"/>
                <w:kern w:val="0"/>
                <w:szCs w:val="21"/>
              </w:rPr>
            </w:pPr>
          </w:p>
          <w:p>
            <w:pPr>
              <w:widowControl/>
              <w:snapToGrid w:val="0"/>
              <w:spacing w:line="360" w:lineRule="exact"/>
              <w:jc w:val="left"/>
              <w:rPr>
                <w:rFonts w:ascii="宋体" w:hAnsi="宋体"/>
                <w:kern w:val="0"/>
                <w:szCs w:val="21"/>
              </w:rPr>
            </w:pPr>
            <w:r>
              <w:rPr>
                <w:rFonts w:hint="eastAsia" w:ascii="宋体" w:hAnsi="宋体"/>
                <w:kern w:val="0"/>
                <w:szCs w:val="21"/>
              </w:rPr>
              <w:t>（二）评分标准：</w:t>
            </w:r>
          </w:p>
          <w:p>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方案包含以上三项内容得9分；包含以上二项内容得6分；包含以上一项内容得3分；其他情况不得分。在此基础上，根据方案响应情况进一步评审：</w:t>
            </w:r>
          </w:p>
          <w:p>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cs="宋体"/>
                <w:szCs w:val="21"/>
              </w:rPr>
              <w:t>质量保障措施内容</w:t>
            </w:r>
            <w:r>
              <w:rPr>
                <w:rFonts w:hint="eastAsia" w:asciiTheme="minorEastAsia" w:hAnsiTheme="minorEastAsia" w:eastAsiaTheme="minorEastAsia"/>
                <w:szCs w:val="21"/>
              </w:rPr>
              <w:t>具体、针对性强、科学合理、可操作性强的，加6分；</w:t>
            </w:r>
          </w:p>
          <w:p>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宋体" w:hAnsi="宋体" w:cs="宋体"/>
                <w:szCs w:val="21"/>
              </w:rPr>
              <w:t>质量保障措施内容</w:t>
            </w:r>
            <w:r>
              <w:rPr>
                <w:rFonts w:hint="eastAsia" w:asciiTheme="minorEastAsia" w:hAnsiTheme="minorEastAsia" w:eastAsiaTheme="minorEastAsia"/>
                <w:szCs w:val="21"/>
              </w:rPr>
              <w:t>较具体、针对性较强、较科学合理、可操作性较强的，加4分；</w:t>
            </w:r>
          </w:p>
          <w:p>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cs="宋体"/>
                <w:szCs w:val="21"/>
              </w:rPr>
              <w:t>质量保障措施内容</w:t>
            </w:r>
            <w:r>
              <w:rPr>
                <w:rFonts w:hint="eastAsia" w:asciiTheme="minorEastAsia" w:hAnsiTheme="minorEastAsia" w:eastAsiaTheme="minorEastAsia"/>
                <w:szCs w:val="21"/>
              </w:rPr>
              <w:t>具体性一般、针对性一般、科学合理性一般、可操作性一般的，加2分；</w:t>
            </w:r>
          </w:p>
          <w:p>
            <w:pPr>
              <w:widowControl/>
              <w:snapToGrid w:val="0"/>
              <w:spacing w:line="360" w:lineRule="exact"/>
              <w:jc w:val="left"/>
              <w:rPr>
                <w:rFonts w:ascii="宋体" w:hAnsi="宋体"/>
                <w:kern w:val="0"/>
                <w:szCs w:val="21"/>
              </w:rPr>
            </w:pPr>
            <w:r>
              <w:rPr>
                <w:rFonts w:hint="eastAsia" w:asciiTheme="minorEastAsia" w:hAnsiTheme="minorEastAsia" w:eastAsiaTheme="minorEastAsia"/>
                <w:szCs w:val="21"/>
              </w:rPr>
              <w:t>4.</w:t>
            </w:r>
            <w:r>
              <w:rPr>
                <w:rFonts w:hint="eastAsia" w:ascii="宋体" w:hAnsi="宋体" w:cs="宋体"/>
                <w:szCs w:val="21"/>
              </w:rPr>
              <w:t>质量保障措施内容</w:t>
            </w:r>
            <w:r>
              <w:rPr>
                <w:rFonts w:hint="eastAsia" w:asciiTheme="minorEastAsia" w:hAnsiTheme="minorEastAsia" w:eastAsiaTheme="minorEastAsia"/>
                <w:szCs w:val="21"/>
              </w:rPr>
              <w:t>不全、无针对性、科学合理性低、可操作性低的，不加分。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54" w:type="dxa"/>
            <w:vAlign w:val="center"/>
          </w:tcPr>
          <w:p>
            <w:pPr>
              <w:widowControl/>
              <w:snapToGrid w:val="0"/>
              <w:spacing w:line="360" w:lineRule="exact"/>
              <w:jc w:val="center"/>
              <w:rPr>
                <w:rFonts w:ascii="宋体" w:hAnsi="宋体"/>
                <w:kern w:val="0"/>
                <w:szCs w:val="21"/>
              </w:rPr>
            </w:pPr>
            <w:r>
              <w:rPr>
                <w:rFonts w:hint="eastAsia" w:ascii="宋体" w:hAnsi="宋体"/>
                <w:kern w:val="0"/>
                <w:szCs w:val="21"/>
              </w:rPr>
              <w:t>4</w:t>
            </w:r>
          </w:p>
        </w:tc>
        <w:tc>
          <w:tcPr>
            <w:tcW w:w="1143" w:type="dxa"/>
            <w:vAlign w:val="center"/>
          </w:tcPr>
          <w:p>
            <w:pPr>
              <w:widowControl/>
              <w:spacing w:line="360" w:lineRule="exact"/>
              <w:jc w:val="center"/>
              <w:rPr>
                <w:rFonts w:ascii="宋体" w:hAnsi="宋体" w:cs="宋体"/>
                <w:szCs w:val="21"/>
              </w:rPr>
            </w:pPr>
            <w:r>
              <w:rPr>
                <w:rFonts w:hint="eastAsia" w:ascii="宋体" w:hAnsi="宋体" w:cs="宋体"/>
                <w:szCs w:val="21"/>
              </w:rPr>
              <w:t>拟安排的项目负责人情况（仅限一人）</w:t>
            </w:r>
          </w:p>
        </w:tc>
        <w:tc>
          <w:tcPr>
            <w:tcW w:w="709" w:type="dxa"/>
            <w:vAlign w:val="center"/>
          </w:tcPr>
          <w:p>
            <w:pPr>
              <w:widowControl/>
              <w:spacing w:line="36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pStyle w:val="94"/>
              <w:spacing w:line="360" w:lineRule="exact"/>
              <w:ind w:firstLine="0" w:firstLineChars="0"/>
              <w:rPr>
                <w:rFonts w:ascii="宋体" w:hAnsi="宋体"/>
                <w:szCs w:val="21"/>
              </w:rPr>
            </w:pPr>
            <w:r>
              <w:rPr>
                <w:rFonts w:hint="eastAsia" w:ascii="宋体" w:hAnsi="宋体"/>
                <w:szCs w:val="21"/>
              </w:rPr>
              <w:t>拟安排的项目负责人</w:t>
            </w:r>
            <w:r>
              <w:rPr>
                <w:rFonts w:hint="eastAsia" w:ascii="宋体" w:hAnsi="宋体" w:cs="宋体"/>
                <w:color w:val="000000"/>
                <w:kern w:val="0"/>
                <w:szCs w:val="21"/>
              </w:rPr>
              <w:t>(仅限1人）</w:t>
            </w:r>
            <w:r>
              <w:rPr>
                <w:rFonts w:hint="eastAsia" w:ascii="宋体" w:hAnsi="宋体"/>
                <w:szCs w:val="21"/>
              </w:rPr>
              <w:t>需为投标单位的</w:t>
            </w:r>
            <w:r>
              <w:rPr>
                <w:rFonts w:hint="eastAsia" w:ascii="宋体" w:hAnsi="宋体"/>
                <w:color w:val="000000" w:themeColor="text1"/>
                <w:szCs w:val="21"/>
              </w:rPr>
              <w:t>正式聘任</w:t>
            </w:r>
            <w:r>
              <w:rPr>
                <w:rFonts w:hint="eastAsia" w:ascii="宋体" w:hAnsi="宋体"/>
                <w:szCs w:val="21"/>
              </w:rPr>
              <w:t>员工，否则本项不得分。在此基础上，按以下标准评分：</w:t>
            </w:r>
          </w:p>
          <w:p>
            <w:pPr>
              <w:pStyle w:val="18"/>
              <w:rPr>
                <w:rFonts w:ascii="宋体" w:hAnsi="宋体"/>
                <w:szCs w:val="21"/>
              </w:rPr>
            </w:pPr>
            <w:r>
              <w:rPr>
                <w:rFonts w:hint="eastAsia" w:ascii="宋体" w:hAnsi="宋体"/>
                <w:szCs w:val="21"/>
              </w:rPr>
              <w:t>（1）具有知识产权或法律</w:t>
            </w:r>
            <w:r>
              <w:rPr>
                <w:rFonts w:hint="eastAsia" w:ascii="宋体" w:hAnsi="宋体"/>
                <w:szCs w:val="21"/>
                <w:lang w:val="en-US" w:eastAsia="zh-CN"/>
              </w:rPr>
              <w:t>类</w:t>
            </w:r>
            <w:r>
              <w:rPr>
                <w:rFonts w:hint="eastAsia"/>
              </w:rPr>
              <w:t>相关</w:t>
            </w:r>
            <w:r>
              <w:rPr>
                <w:rFonts w:hint="eastAsia" w:ascii="宋体" w:hAnsi="宋体"/>
                <w:szCs w:val="21"/>
              </w:rPr>
              <w:t>专业：</w:t>
            </w:r>
          </w:p>
          <w:p>
            <w:pPr>
              <w:pStyle w:val="18"/>
              <w:rPr>
                <w:rFonts w:ascii="宋体" w:hAnsi="宋体"/>
                <w:szCs w:val="21"/>
              </w:rPr>
            </w:pPr>
            <w:r>
              <w:rPr>
                <w:rFonts w:hint="eastAsia" w:ascii="宋体" w:hAnsi="宋体" w:cs="宋体"/>
                <w:szCs w:val="21"/>
              </w:rPr>
              <w:t>①</w:t>
            </w:r>
            <w:r>
              <w:rPr>
                <w:rFonts w:hint="eastAsia" w:ascii="宋体" w:hAnsi="宋体"/>
                <w:szCs w:val="21"/>
              </w:rPr>
              <w:t xml:space="preserve"> 研究生学历得</w:t>
            </w:r>
            <w:r>
              <w:rPr>
                <w:rFonts w:hint="eastAsia" w:ascii="宋体" w:hAnsi="宋体"/>
                <w:szCs w:val="21"/>
                <w:lang w:val="en-US" w:eastAsia="zh-CN"/>
              </w:rPr>
              <w:t>3</w:t>
            </w:r>
            <w:r>
              <w:rPr>
                <w:rFonts w:hint="eastAsia" w:ascii="宋体" w:hAnsi="宋体"/>
                <w:szCs w:val="21"/>
              </w:rPr>
              <w:t>分；</w:t>
            </w:r>
          </w:p>
          <w:p>
            <w:pPr>
              <w:pStyle w:val="18"/>
              <w:rPr>
                <w:rFonts w:ascii="宋体" w:hAnsi="宋体"/>
                <w:szCs w:val="21"/>
              </w:rPr>
            </w:pPr>
            <w:r>
              <w:rPr>
                <w:rFonts w:hint="eastAsia" w:ascii="宋体" w:hAnsi="宋体" w:cs="宋体"/>
                <w:szCs w:val="21"/>
              </w:rPr>
              <w:t>②</w:t>
            </w:r>
            <w:r>
              <w:rPr>
                <w:rFonts w:hint="eastAsia" w:ascii="宋体" w:hAnsi="宋体"/>
                <w:szCs w:val="21"/>
              </w:rPr>
              <w:t xml:space="preserve"> 本科学历得1分；</w:t>
            </w:r>
          </w:p>
          <w:p>
            <w:pPr>
              <w:pStyle w:val="18"/>
              <w:rPr>
                <w:rFonts w:ascii="宋体" w:hAnsi="宋体"/>
                <w:szCs w:val="21"/>
              </w:rPr>
            </w:pPr>
            <w:r>
              <w:rPr>
                <w:rFonts w:hint="eastAsia" w:ascii="宋体" w:hAnsi="宋体" w:cs="宋体"/>
                <w:szCs w:val="21"/>
              </w:rPr>
              <w:t>③</w:t>
            </w:r>
            <w:r>
              <w:rPr>
                <w:rFonts w:hint="eastAsia" w:ascii="宋体" w:hAnsi="宋体"/>
                <w:szCs w:val="21"/>
              </w:rPr>
              <w:t xml:space="preserve"> 其他情况不得分，本项目最高得</w:t>
            </w:r>
            <w:r>
              <w:rPr>
                <w:rFonts w:hint="eastAsia" w:ascii="宋体" w:hAnsi="宋体"/>
                <w:szCs w:val="21"/>
                <w:lang w:val="en-US" w:eastAsia="zh-CN"/>
              </w:rPr>
              <w:t>3</w:t>
            </w:r>
            <w:r>
              <w:rPr>
                <w:rFonts w:hint="eastAsia" w:ascii="宋体" w:hAnsi="宋体"/>
                <w:szCs w:val="21"/>
              </w:rPr>
              <w:t>分。</w:t>
            </w:r>
          </w:p>
          <w:p>
            <w:pPr>
              <w:pStyle w:val="18"/>
              <w:rPr>
                <w:rFonts w:ascii="宋体" w:hAnsi="宋体"/>
                <w:szCs w:val="21"/>
              </w:rPr>
            </w:pPr>
            <w:r>
              <w:rPr>
                <w:rFonts w:hint="eastAsia" w:ascii="宋体" w:hAnsi="宋体"/>
                <w:szCs w:val="21"/>
              </w:rPr>
              <w:t>（2）具有担任知识产权服务项目负责人经验的，得</w:t>
            </w:r>
            <w:r>
              <w:rPr>
                <w:rFonts w:hint="eastAsia" w:ascii="宋体" w:hAnsi="宋体"/>
                <w:szCs w:val="21"/>
                <w:lang w:val="en-US" w:eastAsia="zh-CN"/>
              </w:rPr>
              <w:t>3</w:t>
            </w:r>
            <w:r>
              <w:rPr>
                <w:rFonts w:hint="eastAsia" w:ascii="宋体" w:hAnsi="宋体"/>
                <w:szCs w:val="21"/>
              </w:rPr>
              <w:t>分。</w:t>
            </w:r>
          </w:p>
          <w:p>
            <w:pPr>
              <w:autoSpaceDE w:val="0"/>
              <w:autoSpaceDN w:val="0"/>
              <w:adjustRightInd w:val="0"/>
              <w:spacing w:line="360" w:lineRule="exact"/>
              <w:rPr>
                <w:rFonts w:ascii="宋体" w:hAnsi="宋体"/>
                <w:kern w:val="0"/>
                <w:szCs w:val="21"/>
              </w:rPr>
            </w:pPr>
          </w:p>
          <w:p>
            <w:pPr>
              <w:autoSpaceDE w:val="0"/>
              <w:autoSpaceDN w:val="0"/>
              <w:adjustRightInd w:val="0"/>
              <w:spacing w:line="360" w:lineRule="exact"/>
              <w:rPr>
                <w:rFonts w:ascii="宋体" w:hAnsi="宋体"/>
                <w:kern w:val="0"/>
                <w:szCs w:val="21"/>
              </w:rPr>
            </w:pPr>
            <w:r>
              <w:rPr>
                <w:rFonts w:hint="eastAsia" w:ascii="宋体" w:hAnsi="宋体"/>
                <w:kern w:val="0"/>
                <w:szCs w:val="21"/>
              </w:rPr>
              <w:t>（二）评分依据：</w:t>
            </w:r>
          </w:p>
          <w:p>
            <w:pPr>
              <w:pStyle w:val="94"/>
              <w:spacing w:line="360" w:lineRule="exact"/>
              <w:ind w:firstLine="0" w:firstLineChars="0"/>
              <w:rPr>
                <w:rFonts w:ascii="宋体" w:hAnsi="宋体"/>
                <w:szCs w:val="21"/>
              </w:rPr>
            </w:pPr>
            <w:r>
              <w:rPr>
                <w:rFonts w:hint="eastAsia" w:ascii="宋体" w:hAnsi="宋体"/>
                <w:szCs w:val="21"/>
              </w:rPr>
              <w:t>1.提供项目负责人通过投标单位缴纳的载有</w:t>
            </w:r>
            <w:r>
              <w:rPr>
                <w:rFonts w:hint="eastAsia" w:cs="宋体" w:asciiTheme="minorEastAsia" w:hAnsiTheme="minorEastAsia" w:eastAsiaTheme="minorEastAsia"/>
                <w:szCs w:val="21"/>
              </w:rPr>
              <w:t>社保部门或税务部门</w:t>
            </w:r>
            <w:r>
              <w:rPr>
                <w:rFonts w:hint="eastAsia" w:ascii="宋体" w:hAnsi="宋体"/>
                <w:szCs w:val="21"/>
              </w:rPr>
              <w:t>公章的近三个月内任意一个月的个人社保证明；如供应商为新成立单位且成立时间不足一个月的，</w:t>
            </w:r>
            <w:r>
              <w:rPr>
                <w:rFonts w:hint="eastAsia" w:ascii="宋体" w:hAnsi="宋体" w:cs="宋体"/>
                <w:szCs w:val="21"/>
              </w:rPr>
              <w:t>可提供加盖公章的情况说明或者证明材料，</w:t>
            </w:r>
            <w:r>
              <w:rPr>
                <w:rFonts w:hint="eastAsia" w:ascii="宋体" w:hAnsi="宋体" w:cs="宋体"/>
              </w:rPr>
              <w:t>无需提供相关人员社保，亦可得分；</w:t>
            </w:r>
            <w:r>
              <w:rPr>
                <w:rFonts w:hint="eastAsia" w:ascii="宋体" w:hAnsi="宋体"/>
                <w:szCs w:val="21"/>
              </w:rPr>
              <w:t>如为退休返聘人员则提供劳动合同或返聘协议，</w:t>
            </w:r>
            <w:r>
              <w:rPr>
                <w:rFonts w:hint="eastAsia" w:ascii="宋体" w:hAnsi="宋体" w:cs="宋体"/>
              </w:rPr>
              <w:t>无需提供相关人员社保，亦可得分</w:t>
            </w:r>
            <w:r>
              <w:rPr>
                <w:rFonts w:hint="eastAsia" w:ascii="宋体" w:hAnsi="宋体"/>
                <w:szCs w:val="21"/>
              </w:rPr>
              <w:t>；</w:t>
            </w:r>
          </w:p>
          <w:p>
            <w:pPr>
              <w:pStyle w:val="94"/>
              <w:spacing w:line="360" w:lineRule="exact"/>
              <w:ind w:firstLine="0" w:firstLineChars="0"/>
              <w:rPr>
                <w:rFonts w:ascii="宋体" w:hAnsi="宋体"/>
                <w:szCs w:val="21"/>
              </w:rPr>
            </w:pPr>
            <w:r>
              <w:rPr>
                <w:rFonts w:hint="eastAsia" w:ascii="宋体" w:hAnsi="宋体"/>
                <w:szCs w:val="21"/>
              </w:rPr>
              <w:t>2.提供上述毕业证书以及学信网查询记录，对于学信网无法查询的，还需提供毕业院校或人社部门或教育部门等颁发机构或监管机构出具的证明，否则无效；</w:t>
            </w:r>
          </w:p>
          <w:p>
            <w:pPr>
              <w:pStyle w:val="94"/>
              <w:spacing w:line="360" w:lineRule="exact"/>
              <w:ind w:firstLine="0" w:firstLineChars="0"/>
              <w:rPr>
                <w:rFonts w:ascii="宋体" w:hAnsi="宋体"/>
                <w:szCs w:val="21"/>
              </w:rPr>
            </w:pPr>
            <w:r>
              <w:rPr>
                <w:rFonts w:hint="eastAsia" w:ascii="宋体" w:hAnsi="宋体"/>
                <w:szCs w:val="21"/>
              </w:rPr>
              <w:t>3.</w:t>
            </w:r>
            <w:r>
              <w:rPr>
                <w:rFonts w:hint="eastAsia"/>
              </w:rPr>
              <w:t>涉及考察人员工作经验的，要求提供项目合同关键信息作为评分依据，通过合同关键信息无法判断是否得分的，还需同时提供合同甲方出具的证明文件</w:t>
            </w:r>
            <w:r>
              <w:rPr>
                <w:rFonts w:hint="eastAsia" w:ascii="宋体" w:hAnsi="宋体"/>
                <w:szCs w:val="21"/>
              </w:rPr>
              <w:t>；</w:t>
            </w:r>
          </w:p>
          <w:p>
            <w:pPr>
              <w:pStyle w:val="94"/>
              <w:spacing w:line="360" w:lineRule="exact"/>
              <w:ind w:firstLine="0" w:firstLineChars="0"/>
              <w:rPr>
                <w:rFonts w:ascii="宋体" w:hAnsi="宋体"/>
                <w:szCs w:val="21"/>
              </w:rPr>
            </w:pPr>
            <w:r>
              <w:rPr>
                <w:rFonts w:hint="eastAsia" w:ascii="宋体" w:hAnsi="宋体"/>
                <w:szCs w:val="21"/>
              </w:rPr>
              <w:t>4.提供以上证明文件复印件或扫描件，如涉及网站截图或照片等证明材料，需提供清晰图片，均要求加盖投标人公章，原件备查。未按要求提供有效证明材料或提供不清晰导致评委无法识别的不计得分。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15" w:hRule="atLeast"/>
          <w:jc w:val="center"/>
        </w:trPr>
        <w:tc>
          <w:tcPr>
            <w:tcW w:w="754" w:type="dxa"/>
            <w:vAlign w:val="center"/>
          </w:tcPr>
          <w:p>
            <w:pPr>
              <w:widowControl/>
              <w:snapToGrid w:val="0"/>
              <w:spacing w:line="360" w:lineRule="exact"/>
              <w:jc w:val="center"/>
              <w:rPr>
                <w:rFonts w:ascii="宋体" w:hAnsi="宋体"/>
                <w:kern w:val="0"/>
                <w:szCs w:val="21"/>
              </w:rPr>
            </w:pPr>
            <w:r>
              <w:rPr>
                <w:rFonts w:hint="eastAsia" w:ascii="宋体" w:hAnsi="宋体"/>
                <w:kern w:val="0"/>
                <w:szCs w:val="21"/>
              </w:rPr>
              <w:t>5</w:t>
            </w:r>
          </w:p>
        </w:tc>
        <w:tc>
          <w:tcPr>
            <w:tcW w:w="1143" w:type="dxa"/>
            <w:vAlign w:val="center"/>
          </w:tcPr>
          <w:p>
            <w:pPr>
              <w:widowControl/>
              <w:spacing w:line="360" w:lineRule="exact"/>
              <w:jc w:val="center"/>
              <w:rPr>
                <w:rFonts w:ascii="宋体" w:hAnsi="宋体" w:cs="宋体"/>
                <w:szCs w:val="21"/>
              </w:rPr>
            </w:pPr>
            <w:r>
              <w:rPr>
                <w:rFonts w:hint="eastAsia" w:ascii="宋体" w:hAnsi="宋体" w:cs="宋体"/>
                <w:szCs w:val="21"/>
              </w:rPr>
              <w:t>拟安排的项目主要团队成员（主要技术人员）情况（项目负责人除外）</w:t>
            </w:r>
          </w:p>
        </w:tc>
        <w:tc>
          <w:tcPr>
            <w:tcW w:w="709" w:type="dxa"/>
            <w:vAlign w:val="center"/>
          </w:tcPr>
          <w:p>
            <w:pPr>
              <w:widowControl/>
              <w:spacing w:line="36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7</w:t>
            </w:r>
          </w:p>
        </w:tc>
        <w:tc>
          <w:tcPr>
            <w:tcW w:w="5953" w:type="dxa"/>
            <w:vAlign w:val="center"/>
          </w:tcPr>
          <w:p>
            <w:pPr>
              <w:pStyle w:val="94"/>
              <w:numPr>
                <w:ilvl w:val="0"/>
                <w:numId w:val="0"/>
              </w:numPr>
              <w:spacing w:line="360" w:lineRule="exact"/>
              <w:ind w:firstLine="0" w:firstLineChars="0"/>
              <w:rPr>
                <w:rFonts w:hint="eastAsia" w:ascii="宋体" w:hAnsi="宋体" w:eastAsia="宋体" w:cs="宋体"/>
                <w:szCs w:val="21"/>
              </w:rPr>
            </w:pPr>
            <w:r>
              <w:rPr>
                <w:rFonts w:hint="eastAsia" w:ascii="宋体" w:hAnsi="宋体" w:eastAsia="宋体" w:cs="Times New Roman"/>
                <w:kern w:val="2"/>
                <w:sz w:val="21"/>
                <w:szCs w:val="21"/>
                <w:lang w:val="en-US" w:eastAsia="zh-CN" w:bidi="ar-SA"/>
              </w:rPr>
              <w:t>（一）</w:t>
            </w:r>
            <w:r>
              <w:rPr>
                <w:rFonts w:hint="eastAsia" w:ascii="宋体" w:hAnsi="宋体"/>
                <w:szCs w:val="21"/>
              </w:rPr>
              <w:t>评分内容：</w:t>
            </w:r>
          </w:p>
          <w:p>
            <w:pPr>
              <w:pStyle w:val="94"/>
              <w:numPr>
                <w:ilvl w:val="0"/>
                <w:numId w:val="0"/>
              </w:numPr>
              <w:spacing w:line="360" w:lineRule="exact"/>
              <w:rPr>
                <w:rFonts w:hint="eastAsia" w:ascii="宋体" w:hAnsi="宋体" w:eastAsia="宋体" w:cs="宋体"/>
                <w:szCs w:val="21"/>
                <w:lang w:eastAsia="zh-CN"/>
              </w:rPr>
            </w:pPr>
            <w:r>
              <w:rPr>
                <w:rFonts w:hint="eastAsia" w:ascii="宋体" w:hAnsi="宋体" w:eastAsia="宋体" w:cs="宋体"/>
                <w:szCs w:val="21"/>
              </w:rPr>
              <w:t>拟安排的项目团队成员（项目负责人除外）需为投标单位正式聘任员工且团队成员不少于6人，其中驻点采购人的工作人员至少1人，否则本项不得分。在此基础上，按以下标准评分</w:t>
            </w:r>
            <w:r>
              <w:rPr>
                <w:rFonts w:hint="eastAsia" w:ascii="宋体" w:hAnsi="宋体" w:eastAsia="宋体" w:cs="宋体"/>
                <w:szCs w:val="21"/>
                <w:lang w:eastAsia="zh-CN"/>
              </w:rPr>
              <w:t>：</w:t>
            </w:r>
          </w:p>
          <w:p>
            <w:pPr>
              <w:pStyle w:val="94"/>
              <w:numPr>
                <w:ilvl w:val="0"/>
                <w:numId w:val="0"/>
              </w:numPr>
              <w:spacing w:line="360" w:lineRule="exact"/>
              <w:rPr>
                <w:rFonts w:hint="eastAsia" w:ascii="宋体" w:hAnsi="宋体" w:eastAsia="宋体" w:cs="宋体"/>
                <w:szCs w:val="21"/>
              </w:rPr>
            </w:pPr>
            <w:r>
              <w:rPr>
                <w:rFonts w:hint="eastAsia" w:ascii="宋体" w:hAnsi="宋体" w:eastAsia="宋体" w:cs="宋体"/>
                <w:szCs w:val="21"/>
              </w:rPr>
              <w:t>（1）项目团队成员具有知识产权服务项目经验</w:t>
            </w:r>
            <w:r>
              <w:rPr>
                <w:rFonts w:hint="eastAsia" w:ascii="宋体" w:hAnsi="宋体" w:eastAsia="宋体" w:cs="宋体"/>
              </w:rPr>
              <w:t>的，每提供</w:t>
            </w:r>
            <w:r>
              <w:rPr>
                <w:rFonts w:hint="eastAsia" w:ascii="宋体" w:hAnsi="宋体" w:cs="宋体"/>
                <w:lang w:val="en-US" w:eastAsia="zh-CN"/>
              </w:rPr>
              <w:t>1</w:t>
            </w:r>
            <w:r>
              <w:rPr>
                <w:rFonts w:hint="eastAsia" w:ascii="宋体" w:hAnsi="宋体" w:eastAsia="宋体" w:cs="宋体"/>
              </w:rPr>
              <w:t>人得1分，最高得3分</w:t>
            </w:r>
            <w:r>
              <w:rPr>
                <w:rFonts w:hint="eastAsia" w:ascii="宋体" w:hAnsi="宋体" w:eastAsia="宋体" w:cs="宋体"/>
                <w:szCs w:val="21"/>
                <w:lang w:eastAsia="zh-CN"/>
              </w:rPr>
              <w:t>。</w:t>
            </w:r>
          </w:p>
          <w:p>
            <w:pPr>
              <w:pStyle w:val="94"/>
              <w:spacing w:line="360" w:lineRule="exact"/>
              <w:ind w:firstLine="0" w:firstLineChars="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）项目团队成员具有高级经济师</w:t>
            </w:r>
            <w:r>
              <w:rPr>
                <w:rFonts w:hint="eastAsia" w:ascii="宋体" w:hAnsi="宋体" w:eastAsia="宋体" w:cs="宋体"/>
                <w:szCs w:val="21"/>
                <w:lang w:eastAsia="zh-CN"/>
              </w:rPr>
              <w:t>或</w:t>
            </w:r>
            <w:r>
              <w:rPr>
                <w:rFonts w:hint="eastAsia" w:ascii="宋体" w:hAnsi="宋体" w:eastAsia="宋体" w:cs="宋体"/>
                <w:szCs w:val="21"/>
                <w:lang w:val="en-US" w:eastAsia="zh-CN"/>
              </w:rPr>
              <w:t>高级</w:t>
            </w:r>
            <w:r>
              <w:rPr>
                <w:rFonts w:hint="eastAsia" w:ascii="宋体" w:hAnsi="宋体" w:eastAsia="宋体" w:cs="宋体"/>
                <w:szCs w:val="21"/>
              </w:rPr>
              <w:t>知识产权</w:t>
            </w:r>
            <w:r>
              <w:rPr>
                <w:rFonts w:hint="eastAsia" w:ascii="宋体" w:hAnsi="宋体" w:eastAsia="宋体" w:cs="宋体"/>
                <w:szCs w:val="21"/>
                <w:lang w:val="en-US" w:eastAsia="zh-CN"/>
              </w:rPr>
              <w:t>师</w:t>
            </w:r>
            <w:r>
              <w:rPr>
                <w:rFonts w:hint="eastAsia" w:ascii="宋体" w:hAnsi="宋体" w:eastAsia="宋体" w:cs="宋体"/>
                <w:szCs w:val="21"/>
              </w:rPr>
              <w:t>证书的</w:t>
            </w:r>
            <w:r>
              <w:rPr>
                <w:rFonts w:hint="eastAsia" w:ascii="宋体" w:hAnsi="宋体" w:eastAsia="宋体" w:cs="宋体"/>
                <w:szCs w:val="21"/>
                <w:lang w:eastAsia="zh-CN"/>
              </w:rPr>
              <w:t>，</w:t>
            </w:r>
            <w:r>
              <w:rPr>
                <w:rFonts w:hint="eastAsia" w:ascii="宋体" w:hAnsi="宋体" w:eastAsia="宋体" w:cs="宋体"/>
                <w:szCs w:val="21"/>
              </w:rPr>
              <w:t>每提供1人得2分，最高得</w:t>
            </w:r>
            <w:r>
              <w:rPr>
                <w:rFonts w:hint="eastAsia" w:ascii="宋体" w:hAnsi="宋体" w:eastAsia="宋体" w:cs="宋体"/>
                <w:szCs w:val="21"/>
                <w:lang w:val="en-US" w:eastAsia="zh-CN"/>
              </w:rPr>
              <w:t>4</w:t>
            </w:r>
            <w:r>
              <w:rPr>
                <w:rFonts w:hint="eastAsia" w:ascii="宋体" w:hAnsi="宋体" w:eastAsia="宋体" w:cs="宋体"/>
                <w:szCs w:val="21"/>
              </w:rPr>
              <w:t>分；</w:t>
            </w:r>
          </w:p>
          <w:p>
            <w:pPr>
              <w:spacing w:line="360" w:lineRule="exact"/>
              <w:rPr>
                <w:rFonts w:hint="eastAsia" w:ascii="宋体" w:hAnsi="宋体" w:eastAsia="宋体" w:cs="宋体"/>
                <w:szCs w:val="21"/>
              </w:rPr>
            </w:pPr>
            <w:r>
              <w:rPr>
                <w:rFonts w:hint="eastAsia" w:ascii="宋体" w:hAnsi="宋体" w:eastAsia="宋体" w:cs="宋体"/>
                <w:szCs w:val="21"/>
              </w:rPr>
              <w:t>注：同一人员同时符合多项要求的，可</w:t>
            </w:r>
            <w:r>
              <w:rPr>
                <w:rFonts w:hint="eastAsia" w:ascii="宋体" w:hAnsi="宋体" w:eastAsia="宋体" w:cs="宋体"/>
                <w:szCs w:val="21"/>
                <w:lang w:val="en-US" w:eastAsia="zh-CN"/>
              </w:rPr>
              <w:t>重复得分</w:t>
            </w:r>
            <w:r>
              <w:rPr>
                <w:rFonts w:hint="eastAsia" w:ascii="宋体" w:hAnsi="宋体" w:eastAsia="宋体" w:cs="宋体"/>
                <w:szCs w:val="21"/>
              </w:rPr>
              <w:t>。</w:t>
            </w:r>
          </w:p>
          <w:p>
            <w:pPr>
              <w:autoSpaceDE w:val="0"/>
              <w:autoSpaceDN w:val="0"/>
              <w:adjustRightInd w:val="0"/>
              <w:spacing w:line="360" w:lineRule="exact"/>
              <w:jc w:val="left"/>
              <w:rPr>
                <w:rFonts w:ascii="宋体" w:hAnsi="宋体"/>
                <w:kern w:val="0"/>
                <w:szCs w:val="21"/>
              </w:rPr>
            </w:pP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pStyle w:val="94"/>
              <w:spacing w:line="360" w:lineRule="exact"/>
              <w:ind w:firstLine="0" w:firstLineChars="0"/>
              <w:rPr>
                <w:rFonts w:ascii="宋体" w:hAnsi="宋体"/>
                <w:szCs w:val="21"/>
              </w:rPr>
            </w:pPr>
            <w:r>
              <w:rPr>
                <w:rFonts w:hint="eastAsia" w:ascii="宋体" w:hAnsi="宋体"/>
                <w:szCs w:val="21"/>
              </w:rPr>
              <w:t>1.提供项目团队成员通过投标单位缴纳的载有</w:t>
            </w:r>
            <w:r>
              <w:rPr>
                <w:rFonts w:hint="eastAsia" w:cs="宋体" w:asciiTheme="minorEastAsia" w:hAnsiTheme="minorEastAsia" w:eastAsiaTheme="minorEastAsia"/>
                <w:szCs w:val="21"/>
              </w:rPr>
              <w:t>社保部门或税务部门</w:t>
            </w:r>
            <w:r>
              <w:rPr>
                <w:rFonts w:hint="eastAsia" w:ascii="宋体" w:hAnsi="宋体"/>
                <w:szCs w:val="21"/>
              </w:rPr>
              <w:t>公章的近三个月内任意一个月的个人社保证明；如供应商为新成立单位且成立时间不足一个月的，</w:t>
            </w:r>
            <w:r>
              <w:rPr>
                <w:rFonts w:hint="eastAsia" w:ascii="宋体" w:hAnsi="宋体" w:cs="宋体"/>
                <w:szCs w:val="21"/>
              </w:rPr>
              <w:t>可提供加盖公章的情况说明或者证明材料，</w:t>
            </w:r>
            <w:r>
              <w:rPr>
                <w:rFonts w:hint="eastAsia" w:ascii="宋体" w:hAnsi="宋体" w:cs="宋体"/>
              </w:rPr>
              <w:t>无需提供相关人员社保，亦可得分；</w:t>
            </w:r>
            <w:r>
              <w:rPr>
                <w:rFonts w:hint="eastAsia" w:ascii="宋体" w:hAnsi="宋体"/>
                <w:szCs w:val="21"/>
              </w:rPr>
              <w:t>如为退休返聘人员则提供劳动合同或返聘协议，</w:t>
            </w:r>
            <w:r>
              <w:rPr>
                <w:rFonts w:hint="eastAsia" w:ascii="宋体" w:hAnsi="宋体" w:cs="宋体"/>
              </w:rPr>
              <w:t>无需提供相关人员社保，亦可得分</w:t>
            </w:r>
            <w:r>
              <w:rPr>
                <w:rFonts w:hint="eastAsia" w:ascii="宋体" w:hAnsi="宋体"/>
                <w:szCs w:val="21"/>
              </w:rPr>
              <w:t>；</w:t>
            </w:r>
          </w:p>
          <w:p>
            <w:pPr>
              <w:pStyle w:val="94"/>
              <w:spacing w:line="360" w:lineRule="exact"/>
              <w:ind w:firstLine="0" w:firstLineChars="0"/>
              <w:rPr>
                <w:rFonts w:ascii="宋体" w:hAnsi="宋体"/>
                <w:szCs w:val="21"/>
              </w:rPr>
            </w:pPr>
            <w:r>
              <w:rPr>
                <w:rFonts w:hint="eastAsia" w:ascii="宋体" w:hAnsi="宋体"/>
                <w:szCs w:val="21"/>
              </w:rPr>
              <w:t>2.提供上述项目团队成员职称证书或资格证书作为评分依据；</w:t>
            </w:r>
          </w:p>
          <w:p>
            <w:pPr>
              <w:pStyle w:val="94"/>
              <w:spacing w:line="360" w:lineRule="exact"/>
              <w:ind w:firstLine="0" w:firstLineChars="0"/>
              <w:rPr>
                <w:rFonts w:ascii="宋体" w:hAnsi="宋体"/>
                <w:szCs w:val="21"/>
              </w:rPr>
            </w:pPr>
            <w:r>
              <w:rPr>
                <w:rFonts w:hint="eastAsia" w:ascii="宋体" w:hAnsi="宋体"/>
                <w:szCs w:val="21"/>
              </w:rPr>
              <w:t>3.</w:t>
            </w:r>
            <w:r>
              <w:rPr>
                <w:rFonts w:hint="eastAsia"/>
              </w:rPr>
              <w:t>涉及考察人员工作经验的，要求提供项目合同关键信息作为评分依据，通过合同关键信息无法判断是否得分的，还需同时提供合同甲方出具的证明文件</w:t>
            </w:r>
            <w:r>
              <w:rPr>
                <w:rFonts w:hint="eastAsia" w:ascii="宋体" w:hAnsi="宋体"/>
                <w:szCs w:val="21"/>
              </w:rPr>
              <w:t>；</w:t>
            </w:r>
          </w:p>
          <w:p>
            <w:pPr>
              <w:pStyle w:val="94"/>
              <w:spacing w:line="360" w:lineRule="exact"/>
              <w:ind w:firstLine="0" w:firstLineChars="0"/>
              <w:rPr>
                <w:rFonts w:ascii="宋体" w:hAnsi="宋体"/>
                <w:szCs w:val="21"/>
              </w:rPr>
            </w:pPr>
            <w:r>
              <w:rPr>
                <w:rFonts w:hint="eastAsia" w:ascii="宋体" w:hAnsi="宋体"/>
                <w:szCs w:val="21"/>
              </w:rPr>
              <w:t>4.提供以上证明文件复印件或扫描件，如涉及网站截图或照片等证明材料，需提供清晰图片，均要求加盖投标人公章，原件备查。未按要求提供有效证明材料或提供不清晰导致评委无法识别的不计得分。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pPr>
              <w:spacing w:line="360" w:lineRule="exact"/>
              <w:jc w:val="center"/>
              <w:rPr>
                <w:rFonts w:ascii="宋体" w:hAnsi="宋体"/>
                <w:kern w:val="0"/>
                <w:szCs w:val="21"/>
              </w:rPr>
            </w:pPr>
            <w:r>
              <w:rPr>
                <w:rFonts w:hint="eastAsia" w:ascii="宋体" w:hAnsi="宋体"/>
                <w:kern w:val="0"/>
                <w:szCs w:val="21"/>
              </w:rPr>
              <w:t>供应商认证情况</w:t>
            </w:r>
          </w:p>
        </w:tc>
        <w:tc>
          <w:tcPr>
            <w:tcW w:w="709" w:type="dxa"/>
            <w:vAlign w:val="center"/>
          </w:tcPr>
          <w:p>
            <w:pPr>
              <w:spacing w:line="360" w:lineRule="exact"/>
              <w:jc w:val="center"/>
              <w:rPr>
                <w:rFonts w:ascii="宋体" w:hAnsi="宋体"/>
                <w:kern w:val="0"/>
                <w:szCs w:val="21"/>
              </w:rPr>
            </w:pPr>
            <w:r>
              <w:rPr>
                <w:rFonts w:hint="eastAsia" w:ascii="宋体" w:hAnsi="宋体" w:cs="宋体"/>
                <w:szCs w:val="21"/>
              </w:rPr>
              <w:t>12</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1.投标人具有</w:t>
            </w:r>
            <w:r>
              <w:rPr>
                <w:rFonts w:hint="eastAsia" w:ascii="宋体" w:hAnsi="宋体"/>
                <w:bCs/>
                <w:szCs w:val="21"/>
              </w:rPr>
              <w:t>ISO9001</w:t>
            </w:r>
            <w:r>
              <w:rPr>
                <w:rFonts w:hint="eastAsia" w:ascii="宋体" w:hAnsi="宋体"/>
                <w:kern w:val="0"/>
                <w:szCs w:val="21"/>
              </w:rPr>
              <w:t>质量管理体系认证证书的，得4分；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2.投标人具有</w:t>
            </w:r>
            <w:r>
              <w:rPr>
                <w:rFonts w:ascii="宋体" w:hAnsi="宋体"/>
                <w:kern w:val="0"/>
                <w:szCs w:val="21"/>
              </w:rPr>
              <w:t>ISO14001</w:t>
            </w:r>
            <w:r>
              <w:rPr>
                <w:rFonts w:hint="eastAsia" w:ascii="宋体" w:hAnsi="宋体"/>
                <w:kern w:val="0"/>
                <w:szCs w:val="21"/>
              </w:rPr>
              <w:t>环境管理体系认证证书的，得4分；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3.投标人具有ISO27001信息安全管理体系认证证书的，得4分。</w:t>
            </w:r>
          </w:p>
          <w:p>
            <w:pPr>
              <w:autoSpaceDE w:val="0"/>
              <w:autoSpaceDN w:val="0"/>
              <w:adjustRightInd w:val="0"/>
              <w:spacing w:line="360" w:lineRule="exact"/>
              <w:jc w:val="left"/>
              <w:rPr>
                <w:rFonts w:ascii="宋体" w:hAnsi="宋体"/>
                <w:kern w:val="0"/>
                <w:szCs w:val="21"/>
              </w:rPr>
            </w:pP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1.提供有效认证证书（如认证证书注明年审要求的，必须按规定年审且证书在有效期内的方为有效；如未注明年审要求的，证书必须在有效期内的方为有效）；</w:t>
            </w:r>
          </w:p>
          <w:p>
            <w:pPr>
              <w:autoSpaceDE w:val="0"/>
              <w:autoSpaceDN w:val="0"/>
              <w:adjustRightInd w:val="0"/>
              <w:spacing w:line="360" w:lineRule="exact"/>
              <w:jc w:val="left"/>
              <w:rPr>
                <w:rFonts w:ascii="宋体" w:hAnsi="宋体" w:cs="仿宋"/>
                <w:szCs w:val="21"/>
                <w:lang w:val="zh-CN"/>
              </w:rPr>
            </w:pPr>
            <w:r>
              <w:rPr>
                <w:rFonts w:hint="eastAsia" w:ascii="宋体" w:hAnsi="宋体"/>
                <w:kern w:val="0"/>
                <w:szCs w:val="21"/>
              </w:rPr>
              <w:t>2.提供证书官网或权威机构【如：全国认证认可信息公共服务平台（cx.cnca.cn）】认证信息查询截图（截图需显示证书状态为有效）。</w:t>
            </w:r>
            <w:r>
              <w:rPr>
                <w:rFonts w:hint="eastAsia" w:ascii="宋体" w:hAnsi="宋体" w:cs="仿宋"/>
                <w:szCs w:val="21"/>
                <w:lang w:val="zh-CN"/>
              </w:rPr>
              <w:t>相关证书在公开渠道无法查询的，投标人需提供颁发部门或者监管机构的证明材料，证明证书真实有效且为合法机构颁发；</w:t>
            </w:r>
          </w:p>
          <w:p>
            <w:pPr>
              <w:autoSpaceDE w:val="0"/>
              <w:autoSpaceDN w:val="0"/>
              <w:adjustRightInd w:val="0"/>
              <w:spacing w:line="360" w:lineRule="exact"/>
              <w:jc w:val="left"/>
              <w:rPr>
                <w:rFonts w:ascii="宋体" w:hAnsi="宋体"/>
                <w:kern w:val="0"/>
                <w:szCs w:val="21"/>
              </w:rPr>
            </w:pPr>
            <w:r>
              <w:rPr>
                <w:rFonts w:hint="eastAsia" w:asciiTheme="minorEastAsia" w:hAnsiTheme="minorEastAsia" w:eastAsiaTheme="minorEastAsia"/>
              </w:rPr>
              <w:t>3.</w:t>
            </w:r>
            <w:r>
              <w:rPr>
                <w:rFonts w:hint="eastAsia"/>
              </w:rPr>
              <w:t>证书由行业协会颁发的，需提供该行业协会在“中国社会组织政务服务平台”（网址：</w:t>
            </w:r>
            <w:r>
              <w:t>https://chinanpo.mca.gov.cn/</w:t>
            </w:r>
            <w:r>
              <w:rPr>
                <w:rFonts w:hint="eastAsia"/>
              </w:rPr>
              <w:t>）查询的已合法登记且状态正常截图，否则不予认可，视为无效证书；</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4.</w:t>
            </w:r>
            <w:r>
              <w:rPr>
                <w:rFonts w:hint="eastAsia" w:ascii="宋体" w:hAnsi="宋体"/>
                <w:szCs w:val="21"/>
              </w:rPr>
              <w:t>提供以上证明文件复印件或扫描件，如涉及网站截图或照片等证明材料,需提供清晰图片,均要求加盖投标人公章,原件备查。未按要求提供有效证明材料或提供不清晰导致评委无法识别的不计得分</w:t>
            </w:r>
            <w:r>
              <w:rPr>
                <w:rFonts w:hint="eastAsia" w:ascii="宋体" w:hAnsi="宋体" w:cs="仿宋"/>
                <w:szCs w:val="21"/>
                <w:lang w:val="zh-CN"/>
              </w:rPr>
              <w:t>。</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adjustRightInd w:val="0"/>
              <w:snapToGrid w:val="0"/>
              <w:spacing w:line="360" w:lineRule="exact"/>
              <w:jc w:val="center"/>
              <w:rPr>
                <w:rFonts w:ascii="宋体" w:hAnsi="宋体"/>
                <w:snapToGrid w:val="0"/>
                <w:kern w:val="0"/>
                <w:szCs w:val="21"/>
              </w:rPr>
            </w:pPr>
            <w:r>
              <w:rPr>
                <w:rFonts w:hint="eastAsia" w:ascii="宋体" w:hAnsi="宋体"/>
                <w:snapToGrid w:val="0"/>
                <w:kern w:val="0"/>
                <w:szCs w:val="21"/>
              </w:rPr>
              <w:t>供应商同类项目业绩情况</w:t>
            </w:r>
          </w:p>
        </w:tc>
        <w:tc>
          <w:tcPr>
            <w:tcW w:w="709" w:type="dxa"/>
            <w:vAlign w:val="center"/>
          </w:tcPr>
          <w:p>
            <w:pPr>
              <w:adjustRightInd w:val="0"/>
              <w:snapToGrid w:val="0"/>
              <w:spacing w:line="360" w:lineRule="exact"/>
              <w:jc w:val="center"/>
              <w:rPr>
                <w:rFonts w:ascii="宋体" w:hAnsi="宋体"/>
                <w:snapToGrid w:val="0"/>
                <w:kern w:val="0"/>
                <w:szCs w:val="21"/>
              </w:rPr>
            </w:pPr>
            <w:r>
              <w:rPr>
                <w:rFonts w:hint="eastAsia" w:ascii="宋体" w:hAnsi="宋体"/>
                <w:snapToGrid w:val="0"/>
                <w:kern w:val="0"/>
                <w:szCs w:val="21"/>
              </w:rPr>
              <w:t>15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djustRightInd w:val="0"/>
              <w:snapToGrid w:val="0"/>
              <w:spacing w:line="360" w:lineRule="exact"/>
              <w:rPr>
                <w:rFonts w:ascii="宋体" w:hAnsi="宋体" w:cs="宋体"/>
                <w:szCs w:val="21"/>
              </w:rPr>
            </w:pPr>
            <w:r>
              <w:rPr>
                <w:rFonts w:hint="eastAsia" w:ascii="宋体" w:hAnsi="宋体" w:cs="宋体"/>
                <w:szCs w:val="21"/>
              </w:rPr>
              <w:t>2020年</w:t>
            </w:r>
            <w:r>
              <w:rPr>
                <w:rFonts w:hint="eastAsia" w:ascii="宋体" w:hAnsi="宋体" w:cs="宋体"/>
                <w:szCs w:val="21"/>
                <w:lang w:val="en-US" w:eastAsia="zh-CN"/>
              </w:rPr>
              <w:t>3</w:t>
            </w:r>
            <w:r>
              <w:rPr>
                <w:rFonts w:hint="eastAsia" w:ascii="宋体" w:hAnsi="宋体" w:cs="宋体"/>
                <w:szCs w:val="21"/>
              </w:rPr>
              <w:t>月1日至本项目投标截止日（以合同签订日期为准），投标人具有知识产权维权、服务等同类项目业绩并通过验收合格</w:t>
            </w:r>
            <w:r>
              <w:rPr>
                <w:rFonts w:hint="eastAsia"/>
              </w:rPr>
              <w:t>或履约评价合格或以上评价</w:t>
            </w:r>
            <w:r>
              <w:rPr>
                <w:rFonts w:hint="eastAsia" w:ascii="宋体" w:hAnsi="宋体" w:cs="宋体"/>
                <w:szCs w:val="21"/>
              </w:rPr>
              <w:t>的，每提供1个项目得3分,最高得15分。同一项目续签合同的不可重复得分。</w:t>
            </w:r>
          </w:p>
          <w:p>
            <w:pPr>
              <w:autoSpaceDE w:val="0"/>
              <w:autoSpaceDN w:val="0"/>
              <w:adjustRightInd w:val="0"/>
              <w:spacing w:line="360" w:lineRule="exact"/>
              <w:jc w:val="left"/>
              <w:rPr>
                <w:rFonts w:ascii="宋体" w:hAnsi="宋体"/>
                <w:kern w:val="0"/>
                <w:szCs w:val="21"/>
              </w:rPr>
            </w:pP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djustRightInd w:val="0"/>
              <w:snapToGrid w:val="0"/>
              <w:spacing w:line="360" w:lineRule="exact"/>
              <w:rPr>
                <w:rFonts w:ascii="宋体" w:hAnsi="宋体"/>
                <w:szCs w:val="21"/>
              </w:rPr>
            </w:pPr>
            <w:r>
              <w:rPr>
                <w:rFonts w:hint="eastAsia" w:ascii="宋体" w:hAnsi="宋体" w:cs="仿宋"/>
                <w:szCs w:val="21"/>
              </w:rPr>
              <w:t>1.同时提供合同关键页</w:t>
            </w:r>
            <w:r>
              <w:rPr>
                <w:rFonts w:cs="宋体" w:asciiTheme="minorEastAsia" w:hAnsiTheme="minorEastAsia" w:eastAsiaTheme="minorEastAsia"/>
                <w:szCs w:val="21"/>
              </w:rPr>
              <w:t>（关键信息包括但不仅限于合同的项目名称、服务内容、合同服务期限、甲乙双方签字盖章页</w:t>
            </w:r>
            <w:r>
              <w:rPr>
                <w:rFonts w:hint="eastAsia" w:cs="宋体" w:asciiTheme="minorEastAsia" w:hAnsiTheme="minorEastAsia" w:eastAsiaTheme="minorEastAsia"/>
                <w:szCs w:val="21"/>
              </w:rPr>
              <w:t>，</w:t>
            </w:r>
            <w:r>
              <w:rPr>
                <w:rFonts w:hint="eastAsia" w:asciiTheme="minorEastAsia" w:hAnsiTheme="minorEastAsia" w:eastAsiaTheme="minorEastAsia"/>
                <w:bCs/>
                <w:szCs w:val="21"/>
              </w:rPr>
              <w:t>且提供的材料各项信息不得有任何遮挡）和</w:t>
            </w:r>
            <w:r>
              <w:rPr>
                <w:rFonts w:hint="eastAsia" w:ascii="宋体" w:hAnsi="宋体" w:cs="宋体"/>
                <w:szCs w:val="21"/>
              </w:rPr>
              <w:t>履约评价合格（或以上评价）或者验收合格证明文件作为评分依据，履约评价或者验收证明文件需加盖合同甲方公章（或甲方业务章）</w:t>
            </w:r>
            <w:r>
              <w:rPr>
                <w:rFonts w:hint="eastAsia" w:ascii="宋体" w:hAnsi="宋体"/>
                <w:szCs w:val="21"/>
              </w:rPr>
              <w:t>；</w:t>
            </w:r>
          </w:p>
          <w:p>
            <w:pPr>
              <w:adjustRightInd w:val="0"/>
              <w:snapToGrid w:val="0"/>
              <w:spacing w:line="360" w:lineRule="exact"/>
              <w:rPr>
                <w:rFonts w:ascii="宋体" w:hAnsi="宋体"/>
                <w:szCs w:val="21"/>
              </w:rPr>
            </w:pPr>
            <w:r>
              <w:rPr>
                <w:rFonts w:hint="eastAsia" w:ascii="宋体" w:hAnsi="宋体"/>
                <w:szCs w:val="21"/>
              </w:rPr>
              <w:t>2.通过合同关键信息无法判断是否得分的，还需提供能证明得分的其它证明资料，如项目报告或合同甲方出具的证明文件；</w:t>
            </w:r>
          </w:p>
          <w:p>
            <w:pPr>
              <w:adjustRightInd w:val="0"/>
              <w:snapToGrid w:val="0"/>
              <w:spacing w:line="360" w:lineRule="exact"/>
              <w:rPr>
                <w:rFonts w:ascii="宋体" w:hAnsi="宋体"/>
                <w:b/>
                <w:bCs/>
                <w:kern w:val="0"/>
                <w:szCs w:val="21"/>
              </w:rPr>
            </w:pPr>
            <w:r>
              <w:rPr>
                <w:rFonts w:hint="eastAsia" w:ascii="宋体" w:hAnsi="宋体"/>
                <w:szCs w:val="21"/>
              </w:rPr>
              <w:t>3.提供以上证明文件复印件或扫描件，如涉及网站截图或照片等证明材料,需提供清晰图片,均要求加盖投标人公章,原件备查。未按要求提供有效证明材料或提供不清晰导致评委无法识别的不计得分。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3</w:t>
            </w:r>
          </w:p>
        </w:tc>
        <w:tc>
          <w:tcPr>
            <w:tcW w:w="1143" w:type="dxa"/>
            <w:vAlign w:val="center"/>
          </w:tcPr>
          <w:p>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tabs>
                <w:tab w:val="left" w:pos="175"/>
              </w:tabs>
              <w:spacing w:line="360" w:lineRule="exact"/>
              <w:ind w:left="33"/>
              <w:jc w:val="left"/>
              <w:rPr>
                <w:rFonts w:ascii="宋体" w:hAnsi="宋体" w:cs="仿宋"/>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rPr>
              <w:t>评委</w:t>
            </w:r>
            <w:r>
              <w:rPr>
                <w:rFonts w:hint="eastAsia" w:ascii="宋体" w:hAnsi="宋体" w:cs="仿宋"/>
                <w:szCs w:val="21"/>
                <w:lang w:val="zh-CN"/>
              </w:rPr>
              <w:t>打分</w:t>
            </w:r>
          </w:p>
        </w:tc>
      </w:tr>
    </w:tbl>
    <w:p>
      <w:pPr>
        <w:pStyle w:val="2"/>
        <w:spacing w:before="0" w:after="0"/>
        <w:jc w:val="left"/>
        <w:rPr>
          <w:rFonts w:asciiTheme="minorEastAsia" w:hAnsiTheme="minorEastAsia"/>
          <w:bCs w:val="0"/>
          <w:sz w:val="21"/>
          <w:szCs w:val="21"/>
        </w:rPr>
      </w:pPr>
      <w:bookmarkStart w:id="10" w:name="_Toc44691394"/>
      <w:bookmarkStart w:id="11" w:name="_Toc44690703"/>
      <w:bookmarkStart w:id="12" w:name="_Toc44690430"/>
      <w:bookmarkStart w:id="13" w:name="_Toc44691162"/>
      <w:bookmarkStart w:id="14" w:name="_Toc135293165"/>
      <w:r>
        <w:rPr>
          <w:rFonts w:hint="eastAsia" w:asciiTheme="minorEastAsia" w:hAnsiTheme="minorEastAsia"/>
          <w:bCs w:val="0"/>
          <w:sz w:val="21"/>
          <w:szCs w:val="21"/>
        </w:rPr>
        <w:t>备注：</w:t>
      </w:r>
      <w:bookmarkEnd w:id="10"/>
      <w:bookmarkEnd w:id="11"/>
      <w:bookmarkEnd w:id="12"/>
      <w:bookmarkEnd w:id="13"/>
      <w:bookmarkEnd w:id="14"/>
    </w:p>
    <w:p>
      <w:pPr>
        <w:pStyle w:val="4"/>
        <w:spacing w:before="0" w:after="0"/>
      </w:pPr>
      <w:bookmarkStart w:id="15" w:name="_Toc135293166"/>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4"/>
        <w:spacing w:before="0" w:after="0"/>
        <w:rPr>
          <w:rFonts w:asciiTheme="minorEastAsia" w:hAnsiTheme="minorEastAsia" w:eastAsiaTheme="minorEastAsia"/>
        </w:rPr>
      </w:pPr>
      <w:bookmarkStart w:id="16" w:name="_Toc135293167"/>
      <w:r>
        <w:rPr>
          <w:rFonts w:hint="eastAsia" w:asciiTheme="minorEastAsia" w:hAnsiTheme="minorEastAsia" w:eastAsiaTheme="minorEastAsia"/>
        </w:rPr>
        <w:t>2、政府采购扶持政策</w:t>
      </w:r>
      <w:bookmarkEnd w:id="16"/>
    </w:p>
    <w:p>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pPr>
        <w:spacing w:line="360" w:lineRule="auto"/>
        <w:ind w:firstLine="424" w:firstLineChars="202"/>
      </w:pPr>
    </w:p>
    <w:p>
      <w:pPr>
        <w:spacing w:line="360" w:lineRule="auto"/>
        <w:ind w:firstLine="424" w:firstLineChars="202"/>
      </w:pPr>
    </w:p>
    <w:p>
      <w:pPr>
        <w:widowControl/>
        <w:jc w:val="left"/>
      </w:pPr>
      <w:r>
        <w:br w:type="page"/>
      </w:r>
    </w:p>
    <w:p>
      <w:pPr>
        <w:widowControl/>
        <w:jc w:val="left"/>
      </w:pPr>
    </w:p>
    <w:p>
      <w:pPr>
        <w:pStyle w:val="3"/>
      </w:pPr>
      <w:bookmarkStart w:id="17" w:name="_Toc135293168"/>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pPr>
            <w:r>
              <w:rPr>
                <w:rFonts w:hint="eastAsia"/>
              </w:rPr>
              <w:t>知识产权保护类专项资金申报受理评审验收组织工作辅助服务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Ansi="宋体"/>
                <w:szCs w:val="24"/>
              </w:rPr>
            </w:pPr>
            <w:r>
              <w:rPr>
                <w:rFonts w:hint="eastAsia" w:hAnsi="宋体"/>
                <w:snapToGrid w:val="0"/>
                <w:szCs w:val="21"/>
              </w:rPr>
              <w:t>深圳市市场监督管理局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采购代理机构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r>
              <w:rPr>
                <w:rFonts w:hint="eastAsia"/>
                <w:snapToGrid w:val="0"/>
              </w:rPr>
              <w:t>，由各投标人自行查看现场。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投标文件必须标注页码并装订成册</w:t>
            </w:r>
            <w:r>
              <w:rPr>
                <w:rFonts w:hint="eastAsia" w:asciiTheme="minorEastAsia" w:hAnsiTheme="minorEastAsia" w:eastAsiaTheme="minor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rPr>
            </w:pPr>
            <w:r>
              <w:rPr>
                <w:rFonts w:hint="eastAsia" w:hAnsi="宋体"/>
                <w:szCs w:val="21"/>
              </w:rPr>
              <w:t>详见《第一章 投标邀请》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szCs w:val="21"/>
              </w:rPr>
              <w:t>详见《第一章 投标邀请》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33</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%，最低收取人民币6000元。</w:t>
            </w:r>
          </w:p>
          <w:p>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pPr>
        <w:rPr>
          <w:szCs w:val="21"/>
        </w:rPr>
      </w:pPr>
    </w:p>
    <w:p/>
    <w:p/>
    <w:p/>
    <w:p/>
    <w:p/>
    <w:p/>
    <w:p/>
    <w:p/>
    <w:p/>
    <w:p/>
    <w:p/>
    <w:p/>
    <w:p/>
    <w:p/>
    <w:p/>
    <w:p/>
    <w:p/>
    <w:p/>
    <w:p/>
    <w:p/>
    <w:p/>
    <w:p/>
    <w:p/>
    <w:p/>
    <w:p/>
    <w:p/>
    <w:p/>
    <w:p/>
    <w:p/>
    <w:p/>
    <w:p/>
    <w:p/>
    <w:p/>
    <w:p/>
    <w:p/>
    <w:p/>
    <w:p/>
    <w:p/>
    <w:p/>
    <w:p/>
    <w:p/>
    <w:p>
      <w:pPr>
        <w:pStyle w:val="3"/>
      </w:pPr>
      <w:bookmarkStart w:id="18" w:name="_Toc135293169"/>
      <w:r>
        <w:rPr>
          <w:rFonts w:hint="eastAsia"/>
        </w:rPr>
        <w:t>第六章  投标人须知</w:t>
      </w:r>
      <w:bookmarkEnd w:id="18"/>
    </w:p>
    <w:p>
      <w:pPr>
        <w:pStyle w:val="2"/>
        <w:spacing w:before="0" w:after="0"/>
      </w:pPr>
      <w:bookmarkStart w:id="19" w:name="_Toc135293170"/>
      <w:r>
        <w:rPr>
          <w:rFonts w:hint="eastAsia"/>
        </w:rPr>
        <w:t>一、说</w:t>
      </w:r>
      <w:r>
        <w:t xml:space="preserve">  </w:t>
      </w:r>
      <w:r>
        <w:rPr>
          <w:rFonts w:hint="eastAsia"/>
        </w:rPr>
        <w:t>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2"/>
        <w:spacing w:before="0" w:after="0"/>
      </w:pPr>
      <w:bookmarkStart w:id="21" w:name="_Toc135293171"/>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2"/>
        <w:spacing w:before="0" w:after="0"/>
      </w:pPr>
      <w:bookmarkStart w:id="22" w:name="q6"/>
      <w:bookmarkEnd w:id="22"/>
      <w:bookmarkStart w:id="23" w:name="_Toc135293172"/>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为了便于投标文件保存，需提交一份投标文件备份光盘（或U盘，内容为投标文件正本盖章扫描件）。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pPr>
        <w:adjustRightInd w:val="0"/>
        <w:spacing w:line="360" w:lineRule="auto"/>
        <w:rPr>
          <w:rFonts w:asciiTheme="minorEastAsia" w:hAnsiTheme="minorEastAsia" w:eastAsiaTheme="minorEastAsia"/>
          <w:snapToGrid w:val="0"/>
          <w:kern w:val="0"/>
        </w:rPr>
      </w:pPr>
    </w:p>
    <w:p>
      <w:pPr>
        <w:pStyle w:val="2"/>
        <w:spacing w:before="0" w:after="0"/>
      </w:pPr>
      <w:bookmarkStart w:id="24" w:name="q7"/>
      <w:bookmarkEnd w:id="24"/>
      <w:bookmarkStart w:id="25" w:name="_Toc135293173"/>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2"/>
        <w:spacing w:before="0" w:after="0"/>
      </w:pPr>
      <w:bookmarkStart w:id="27" w:name="q8"/>
      <w:bookmarkEnd w:id="27"/>
      <w:bookmarkStart w:id="28" w:name="_Toc135293174"/>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2"/>
        <w:spacing w:before="0" w:after="0"/>
      </w:pPr>
      <w:bookmarkStart w:id="30" w:name="_Toc135293175"/>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9" w:firstLineChars="578"/>
              <w:rPr>
                <w:rFonts w:ascii="宋体" w:hAnsi="宋体"/>
                <w:b/>
                <w:szCs w:val="21"/>
              </w:rPr>
            </w:pPr>
            <w:r>
              <w:rPr>
                <w:rFonts w:ascii="宋体" w:hAnsi="宋体"/>
                <w:b/>
                <w:szCs w:val="21"/>
              </w:rPr>
              <w:pict>
                <v:line id="直线 6" o:spid="_x0000_s3099"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0"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098"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pPr>
        <w:spacing w:line="360" w:lineRule="auto"/>
        <w:ind w:firstLine="1044" w:firstLineChars="200"/>
        <w:rPr>
          <w:b/>
          <w:sz w:val="52"/>
          <w:szCs w:val="52"/>
        </w:rPr>
      </w:pPr>
    </w:p>
    <w:p>
      <w:pPr>
        <w:pStyle w:val="2"/>
        <w:spacing w:before="0" w:after="0"/>
      </w:pPr>
      <w:bookmarkStart w:id="31" w:name="_Toc135293176"/>
      <w:r>
        <w:rPr>
          <w:rFonts w:hint="eastAsia"/>
        </w:rPr>
        <w:t>七、质疑处理</w:t>
      </w:r>
      <w:bookmarkEnd w:id="31"/>
    </w:p>
    <w:p>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2"/>
    </w:p>
    <w:p/>
    <w:p/>
    <w:p/>
    <w:p/>
    <w:p/>
    <w:p/>
    <w:p/>
    <w:p/>
    <w:p/>
    <w:p/>
    <w:p/>
    <w:p/>
    <w:p/>
    <w:p/>
    <w:p/>
    <w:p/>
    <w:p/>
    <w:p>
      <w:pPr>
        <w:pStyle w:val="3"/>
      </w:pPr>
      <w:bookmarkStart w:id="34" w:name="_Toc135293177"/>
      <w:r>
        <w:rPr>
          <w:rFonts w:hint="eastAsia"/>
        </w:rPr>
        <w:t>第七章  投标文件格式</w:t>
      </w:r>
      <w:bookmarkEnd w:id="34"/>
    </w:p>
    <w:p>
      <w:pPr>
        <w:jc w:val="center"/>
        <w:rPr>
          <w:b/>
          <w:sz w:val="52"/>
          <w:szCs w:val="52"/>
        </w:rPr>
      </w:pPr>
    </w:p>
    <w:p>
      <w:pPr>
        <w:pStyle w:val="2"/>
        <w:spacing w:line="400" w:lineRule="exact"/>
        <w:rPr>
          <w:rFonts w:ascii="仿宋" w:hAnsi="仿宋" w:eastAsia="仿宋"/>
        </w:rPr>
      </w:pPr>
      <w:bookmarkStart w:id="35" w:name="_Toc11772"/>
      <w:bookmarkStart w:id="36" w:name="_Toc44690704"/>
      <w:bookmarkStart w:id="37" w:name="_Toc44690431"/>
      <w:bookmarkStart w:id="38" w:name="_Toc44691163"/>
      <w:bookmarkStart w:id="39" w:name="_Toc14934"/>
      <w:bookmarkStart w:id="40" w:name="_Toc31468"/>
      <w:bookmarkStart w:id="41" w:name="_Toc44691395"/>
      <w:bookmarkStart w:id="42" w:name="_Toc135293178"/>
      <w:bookmarkStart w:id="43" w:name="_Toc25194"/>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p>
    <w:p>
      <w:pPr>
        <w:spacing w:line="400" w:lineRule="exact"/>
        <w:rPr>
          <w:rFonts w:ascii="仿宋" w:hAnsi="仿宋" w:eastAsia="仿宋"/>
        </w:rPr>
      </w:pPr>
      <w:bookmarkStart w:id="44" w:name="_投标文件格式（第一册）"/>
      <w:bookmarkEnd w:id="44"/>
      <w:bookmarkStart w:id="45" w:name="q0"/>
    </w:p>
    <w:p>
      <w:pPr>
        <w:spacing w:line="400" w:lineRule="exact"/>
        <w:rPr>
          <w:rFonts w:ascii="仿宋" w:hAnsi="仿宋" w:eastAsia="仿宋"/>
        </w:rPr>
      </w:pPr>
    </w:p>
    <w:p>
      <w:pPr>
        <w:spacing w:line="400" w:lineRule="exact"/>
        <w:rPr>
          <w:rFonts w:ascii="仿宋" w:hAnsi="仿宋" w:eastAsia="仿宋"/>
        </w:rPr>
      </w:pPr>
    </w:p>
    <w:p>
      <w:pPr>
        <w:pStyle w:val="2"/>
        <w:spacing w:line="400" w:lineRule="exact"/>
        <w:rPr>
          <w:rFonts w:ascii="仿宋" w:hAnsi="仿宋" w:eastAsia="仿宋"/>
        </w:rPr>
      </w:pPr>
      <w:bookmarkStart w:id="46" w:name="_Toc135293179"/>
      <w:r>
        <w:rPr>
          <w:rFonts w:hint="eastAsia" w:ascii="仿宋" w:hAnsi="仿宋" w:eastAsia="仿宋"/>
        </w:rPr>
        <w:t>投标文件格式</w:t>
      </w:r>
      <w:bookmarkEnd w:id="46"/>
    </w:p>
    <w:bookmarkEnd w:id="45"/>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pStyle w:val="2"/>
        <w:spacing w:line="400" w:lineRule="exact"/>
        <w:rPr>
          <w:rFonts w:ascii="仿宋" w:hAnsi="仿宋" w:eastAsia="仿宋"/>
        </w:rPr>
      </w:pPr>
      <w:bookmarkStart w:id="48" w:name="_Toc135293180"/>
      <w:bookmarkStart w:id="49" w:name="_Toc73613640"/>
      <w:r>
        <w:rPr>
          <w:rFonts w:hint="eastAsia" w:ascii="仿宋" w:hAnsi="仿宋" w:eastAsia="仿宋"/>
        </w:rPr>
        <w:t>政府采购违法行为风险知悉确认书</w:t>
      </w:r>
      <w:bookmarkEnd w:id="48"/>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spacing w:line="360" w:lineRule="auto"/>
        <w:ind w:firstLine="420" w:firstLineChars="200"/>
        <w:rPr>
          <w:szCs w:val="21"/>
        </w:rPr>
      </w:pPr>
    </w:p>
    <w:p/>
    <w:p/>
    <w:p/>
    <w:p/>
    <w:p/>
    <w:p/>
    <w:p/>
    <w:p/>
    <w:p/>
    <w:p/>
    <w:p/>
    <w:p/>
    <w:p>
      <w:pPr>
        <w:pStyle w:val="2"/>
        <w:spacing w:line="400" w:lineRule="exact"/>
        <w:rPr>
          <w:rFonts w:ascii="仿宋" w:hAnsi="仿宋" w:eastAsia="仿宋"/>
        </w:rPr>
      </w:pPr>
      <w:bookmarkStart w:id="50" w:name="_Toc135293181"/>
      <w:r>
        <w:rPr>
          <w:rFonts w:hint="eastAsia" w:ascii="仿宋" w:hAnsi="仿宋" w:eastAsia="仿宋"/>
        </w:rPr>
        <w:t>评标指引表</w:t>
      </w:r>
      <w:bookmarkEnd w:id="49"/>
      <w:bookmarkEnd w:id="50"/>
    </w:p>
    <w:p>
      <w:pPr>
        <w:jc w:val="center"/>
        <w:rPr>
          <w:b/>
          <w:szCs w:val="21"/>
        </w:rPr>
      </w:pPr>
    </w:p>
    <w:p>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50"/>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其他资料</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spacing w:line="360" w:lineRule="exact"/>
        <w:rPr>
          <w:b/>
          <w:szCs w:val="21"/>
        </w:rPr>
      </w:pPr>
    </w:p>
    <w:p>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jc w:val="center"/>
      </w:pPr>
    </w:p>
    <w:p/>
    <w:p/>
    <w:p/>
    <w:p/>
    <w:p/>
    <w:p/>
    <w:p/>
    <w:p/>
    <w:p>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51" w:name="_Toc44690432"/>
      <w:bookmarkStart w:id="52" w:name="_Toc44691396"/>
      <w:bookmarkStart w:id="53" w:name="_Toc135293182"/>
      <w:bookmarkStart w:id="54" w:name="_Toc44690705"/>
      <w:bookmarkStart w:id="55" w:name="_Toc44691164"/>
      <w:r>
        <w:rPr>
          <w:rFonts w:hint="eastAsia" w:asciiTheme="minorEastAsia" w:hAnsiTheme="minorEastAsia" w:eastAsiaTheme="minorEastAsia"/>
        </w:rPr>
        <w:t>格式1  投标人资格证明文件</w:t>
      </w:r>
      <w:bookmarkEnd w:id="51"/>
      <w:bookmarkEnd w:id="52"/>
      <w:bookmarkEnd w:id="53"/>
      <w:bookmarkEnd w:id="54"/>
      <w:bookmarkEnd w:id="55"/>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pPr>
        <w:adjustRightInd w:val="0"/>
        <w:snapToGrid w:val="0"/>
        <w:spacing w:line="360" w:lineRule="auto"/>
        <w:ind w:firstLine="424" w:firstLineChars="202"/>
        <w:rPr>
          <w:rFonts w:ascii="宋体" w:hAnsi="宋体"/>
          <w:bCs/>
          <w:snapToGrid w:val="0"/>
          <w:kern w:val="0"/>
        </w:rPr>
      </w:pPr>
    </w:p>
    <w:p>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tabs>
          <w:tab w:val="left" w:pos="555"/>
        </w:tabs>
        <w:adjustRightInd w:val="0"/>
        <w:snapToGrid w:val="0"/>
        <w:spacing w:line="300" w:lineRule="auto"/>
        <w:rPr>
          <w:b/>
          <w:snapToGrid w:val="0"/>
          <w:sz w:val="32"/>
          <w:szCs w:val="32"/>
        </w:rPr>
      </w:pPr>
      <w:r>
        <w:rPr>
          <w:b/>
          <w:snapToGrid w:val="0"/>
          <w:sz w:val="32"/>
          <w:szCs w:val="32"/>
        </w:rPr>
        <w:tab/>
      </w: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pPr>
        <w:spacing w:line="400" w:lineRule="exact"/>
        <w:ind w:firstLine="420" w:firstLineChars="200"/>
        <w:rPr>
          <w:rFonts w:ascii="宋体" w:hAnsi="宋体"/>
          <w:szCs w:val="21"/>
        </w:rPr>
      </w:pPr>
      <w:r>
        <w:rPr>
          <w:rFonts w:hint="eastAsia" w:ascii="宋体" w:hAnsi="宋体"/>
          <w:szCs w:val="21"/>
        </w:rPr>
        <w:t>（一）具有独立承担民事责任的能力；</w:t>
      </w:r>
    </w:p>
    <w:p>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（六）法律、行政法规规定的其他条件。</w:t>
      </w:r>
    </w:p>
    <w:p>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56" w:name="_Toc135293183"/>
      <w:r>
        <w:rPr>
          <w:rFonts w:hint="eastAsia" w:asciiTheme="minorEastAsia" w:hAnsiTheme="minorEastAsia" w:eastAsiaTheme="minorEastAsia"/>
        </w:rPr>
        <w:t>格式2  法定代表人（负责人）证明书及授权委托书</w:t>
      </w:r>
      <w:bookmarkEnd w:id="56"/>
    </w:p>
    <w:p>
      <w:pPr>
        <w:tabs>
          <w:tab w:val="left" w:pos="450"/>
        </w:tabs>
        <w:jc w:val="center"/>
        <w:rPr>
          <w:rFonts w:ascii="宋体" w:hAnsi="宋体"/>
          <w:b/>
          <w:sz w:val="30"/>
          <w:szCs w:val="30"/>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2249" w:firstLineChars="800"/>
        <w:rPr>
          <w:b/>
          <w:bCs/>
          <w:sz w:val="28"/>
        </w:rPr>
      </w:pPr>
    </w:p>
    <w:p>
      <w:pPr>
        <w:ind w:firstLine="2249" w:firstLineChars="800"/>
        <w:rPr>
          <w:b/>
          <w:bCs/>
          <w:sz w:val="28"/>
        </w:rPr>
      </w:pPr>
    </w:p>
    <w:p>
      <w:pPr>
        <w:ind w:firstLine="2249" w:firstLineChars="800"/>
        <w:rPr>
          <w:b/>
          <w:bCs/>
          <w:sz w:val="28"/>
        </w:rPr>
      </w:pPr>
    </w:p>
    <w:p>
      <w:pPr>
        <w:jc w:val="center"/>
        <w:rPr>
          <w:b/>
          <w:bCs/>
          <w:sz w:val="28"/>
        </w:rPr>
      </w:pPr>
      <w:r>
        <w:rPr>
          <w:rFonts w:hint="eastAsia"/>
          <w:b/>
          <w:bCs/>
          <w:sz w:val="28"/>
        </w:rPr>
        <w:t>法定代表人（负责人）授权委托书</w:t>
      </w:r>
      <w:r>
        <w:rPr>
          <w:rFonts w:hint="eastAsia" w:ascii="宋体" w:hAnsi="宋体"/>
          <w:b/>
          <w:sz w:val="30"/>
          <w:szCs w:val="30"/>
        </w:rPr>
        <w:t>（参考）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w:t>
      </w:r>
      <w:r>
        <w:rPr>
          <w:snapToGrid w:val="0"/>
          <w:kern w:val="0"/>
        </w:rPr>
        <w:t>签字</w:t>
      </w:r>
      <w:r>
        <w:rPr>
          <w:rFonts w:hint="eastAsia"/>
        </w:rPr>
        <w:t>）</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7"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bookmarkEnd w:id="57"/>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
      <w:pPr>
        <w:tabs>
          <w:tab w:val="left" w:pos="720"/>
        </w:tabs>
        <w:adjustRightInd w:val="0"/>
        <w:snapToGrid w:val="0"/>
        <w:spacing w:line="300" w:lineRule="auto"/>
      </w:pPr>
    </w:p>
    <w:p>
      <w:pPr>
        <w:tabs>
          <w:tab w:val="left" w:pos="720"/>
        </w:tabs>
        <w:adjustRightInd w:val="0"/>
        <w:snapToGrid w:val="0"/>
        <w:spacing w:line="300" w:lineRule="auto"/>
        <w:rPr>
          <w:b/>
          <w:snapToGrid w:val="0"/>
          <w:kern w:val="0"/>
          <w:sz w:val="28"/>
        </w:rPr>
      </w:pPr>
    </w:p>
    <w:p>
      <w:pPr>
        <w:pStyle w:val="4"/>
        <w:tabs>
          <w:tab w:val="left" w:pos="371"/>
        </w:tabs>
        <w:spacing w:before="120" w:after="120"/>
        <w:ind w:left="-1" w:leftChars="-1" w:hanging="1"/>
        <w:jc w:val="center"/>
        <w:rPr>
          <w:rFonts w:asciiTheme="minorEastAsia" w:hAnsiTheme="minorEastAsia" w:eastAsiaTheme="minorEastAsia"/>
        </w:rPr>
      </w:pPr>
      <w:bookmarkStart w:id="58"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8"/>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同意中标后向采购代理机构支付招标文件要求数额的中标服务费。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p>
    <w:p>
      <w:pPr>
        <w:tabs>
          <w:tab w:val="left" w:pos="371"/>
        </w:tabs>
        <w:spacing w:before="120" w:after="120"/>
        <w:ind w:left="-1" w:leftChars="-1" w:hanging="1"/>
        <w:jc w:val="center"/>
        <w:rPr>
          <w:rFonts w:asciiTheme="minorEastAsia" w:hAnsiTheme="minorEastAsia" w:eastAsiaTheme="minorEastAsia"/>
          <w:sz w:val="24"/>
        </w:rPr>
      </w:pPr>
    </w:p>
    <w:p>
      <w:pPr>
        <w:pStyle w:val="4"/>
        <w:tabs>
          <w:tab w:val="left" w:pos="371"/>
        </w:tabs>
        <w:spacing w:before="120" w:after="120"/>
        <w:ind w:left="-1" w:leftChars="-1" w:hanging="1"/>
        <w:jc w:val="center"/>
        <w:rPr>
          <w:rFonts w:asciiTheme="minorEastAsia" w:hAnsiTheme="minorEastAsia" w:eastAsiaTheme="minorEastAsia"/>
        </w:rPr>
      </w:pPr>
      <w:bookmarkStart w:id="59" w:name="_Toc135293185"/>
      <w:r>
        <w:rPr>
          <w:rFonts w:hint="eastAsia" w:asciiTheme="minorEastAsia" w:hAnsiTheme="minorEastAsia" w:eastAsiaTheme="minorEastAsia"/>
        </w:rPr>
        <w:t>格式4  评分中涉及的承诺及声明函</w:t>
      </w:r>
      <w:bookmarkEnd w:id="59"/>
    </w:p>
    <w:p>
      <w:pPr>
        <w:widowControl/>
        <w:snapToGrid w:val="0"/>
        <w:spacing w:line="360" w:lineRule="auto"/>
        <w:jc w:val="left"/>
        <w:rPr>
          <w:rFonts w:ascii="仿宋" w:hAnsi="仿宋" w:eastAsia="仿宋"/>
          <w:b/>
          <w:bCs/>
          <w:color w:val="FF0000"/>
          <w:kern w:val="0"/>
          <w:sz w:val="25"/>
          <w:szCs w:val="25"/>
        </w:rPr>
      </w:pPr>
    </w:p>
    <w:p>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0" w:name="_Hlk71925120"/>
      <w:r>
        <w:rPr>
          <w:rFonts w:hint="eastAsia" w:asciiTheme="minorEastAsia" w:hAnsiTheme="minorEastAsia" w:eastAsiaTheme="minorEastAsia"/>
          <w:kern w:val="0"/>
          <w:szCs w:val="21"/>
        </w:rPr>
        <w:t>《关于印发中小企业划型标准规定的通知》（工信部联企业〔2011〕300 号</w:t>
      </w:r>
      <w:bookmarkEnd w:id="60"/>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pPr>
        <w:widowControl/>
        <w:snapToGrid w:val="0"/>
        <w:spacing w:line="360" w:lineRule="auto"/>
        <w:ind w:firstLine="426" w:firstLineChars="202"/>
        <w:jc w:val="left"/>
        <w:rPr>
          <w:b/>
          <w:bCs/>
          <w:color w:val="FF0000"/>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pStyle w:val="5"/>
        <w:tabs>
          <w:tab w:val="left" w:pos="0"/>
        </w:tabs>
        <w:jc w:val="center"/>
        <w:rPr>
          <w:rFonts w:ascii="宋体" w:hAnsi="宋体" w:eastAsia="宋体"/>
        </w:rPr>
      </w:pPr>
      <w:r>
        <w:rPr>
          <w:rFonts w:hint="eastAsia" w:ascii="宋体" w:hAnsi="宋体" w:eastAsia="宋体"/>
        </w:rPr>
        <w:t>中小企业声明函</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监狱企业声明函</w:t>
      </w:r>
    </w:p>
    <w:p>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645"/>
        <w:rPr>
          <w:rFonts w:ascii="宋体"/>
          <w:b/>
          <w:szCs w:val="21"/>
        </w:rPr>
      </w:pPr>
      <w:r>
        <w:rPr>
          <w:rFonts w:hint="eastAsia" w:ascii="宋体" w:hAnsi="宋体"/>
          <w:szCs w:val="21"/>
        </w:rPr>
        <w:t xml:space="preserve">                                    </w:t>
      </w: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bookmarkStart w:id="61" w:name="_Toc44690433"/>
      <w:bookmarkStart w:id="62" w:name="_Toc44691397"/>
      <w:bookmarkStart w:id="63" w:name="_Toc135293186"/>
      <w:bookmarkStart w:id="64" w:name="_Toc44690706"/>
      <w:bookmarkStart w:id="65" w:name="_Toc44691165"/>
    </w:p>
    <w:p/>
    <w:p>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pPr>
              <w:jc w:val="cente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3"/>
            <w:vAlign w:val="center"/>
          </w:tcPr>
          <w:p>
            <w:pPr>
              <w:jc w:val="center"/>
              <w:rPr>
                <w:b/>
                <w:szCs w:val="21"/>
              </w:rPr>
            </w:pPr>
            <w:r>
              <w:rPr>
                <w:rFonts w:hint="eastAsia"/>
                <w:b/>
                <w:szCs w:val="21"/>
              </w:rPr>
              <w:t>投标产品报价</w:t>
            </w:r>
          </w:p>
        </w:tc>
        <w:tc>
          <w:tcPr>
            <w:tcW w:w="1503" w:type="dxa"/>
            <w:vMerge w:val="restart"/>
            <w:vAlign w:val="center"/>
          </w:tcPr>
          <w:p>
            <w:pPr>
              <w:jc w:val="center"/>
              <w:rPr>
                <w:b/>
                <w:szCs w:val="21"/>
              </w:rPr>
            </w:pPr>
            <w:r>
              <w:rPr>
                <w:rFonts w:hint="eastAsia"/>
                <w:b/>
                <w:szCs w:val="21"/>
              </w:rPr>
              <w:t>属于优先采购清单的类别</w:t>
            </w:r>
          </w:p>
        </w:tc>
        <w:tc>
          <w:tcPr>
            <w:tcW w:w="720" w:type="dxa"/>
            <w:vMerge w:val="restart"/>
            <w:vAlign w:val="center"/>
          </w:tcPr>
          <w:p>
            <w:pPr>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1241" w:type="dxa"/>
            <w:vAlign w:val="center"/>
          </w:tcPr>
          <w:p>
            <w:pPr>
              <w:jc w:val="center"/>
              <w:rPr>
                <w:szCs w:val="21"/>
              </w:rPr>
            </w:pPr>
            <w:r>
              <w:rPr>
                <w:rFonts w:hint="eastAsia"/>
                <w:szCs w:val="21"/>
              </w:rPr>
              <w:t>投标单价（元）</w:t>
            </w:r>
          </w:p>
        </w:tc>
        <w:tc>
          <w:tcPr>
            <w:tcW w:w="2292" w:type="dxa"/>
            <w:vAlign w:val="center"/>
          </w:tcPr>
          <w:p>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jc w:val="center"/>
              <w:rPr>
                <w:rFonts w:ascii="宋体" w:hAnsi="宋体"/>
                <w:szCs w:val="21"/>
              </w:rPr>
            </w:pPr>
            <w:r>
              <w:rPr>
                <w:rFonts w:hint="eastAsia" w:ascii="宋体" w:hAnsi="宋体"/>
                <w:szCs w:val="21"/>
              </w:rPr>
              <w:t>1</w:t>
            </w:r>
          </w:p>
        </w:tc>
        <w:tc>
          <w:tcPr>
            <w:tcW w:w="1213" w:type="dxa"/>
            <w:vAlign w:val="center"/>
          </w:tcPr>
          <w:p>
            <w:pPr>
              <w:jc w:val="center"/>
              <w:rPr>
                <w:szCs w:val="21"/>
              </w:rPr>
            </w:pPr>
          </w:p>
        </w:tc>
        <w:tc>
          <w:tcPr>
            <w:tcW w:w="1840" w:type="dxa"/>
            <w:vAlign w:val="center"/>
          </w:tcPr>
          <w:p>
            <w:pPr>
              <w:jc w:val="center"/>
              <w:rPr>
                <w:szCs w:val="21"/>
              </w:rPr>
            </w:pPr>
          </w:p>
        </w:tc>
        <w:tc>
          <w:tcPr>
            <w:tcW w:w="818" w:type="dxa"/>
            <w:vAlign w:val="center"/>
          </w:tcPr>
          <w:p>
            <w:pPr>
              <w:jc w:val="center"/>
              <w:rPr>
                <w:szCs w:val="21"/>
              </w:rPr>
            </w:pPr>
          </w:p>
        </w:tc>
        <w:tc>
          <w:tcPr>
            <w:tcW w:w="1241" w:type="dxa"/>
            <w:vAlign w:val="center"/>
          </w:tcPr>
          <w:p>
            <w:pPr>
              <w:jc w:val="center"/>
              <w:rPr>
                <w:szCs w:val="21"/>
              </w:rPr>
            </w:pPr>
          </w:p>
        </w:tc>
        <w:tc>
          <w:tcPr>
            <w:tcW w:w="2292" w:type="dxa"/>
            <w:vAlign w:val="center"/>
          </w:tcPr>
          <w:p>
            <w:pPr>
              <w:jc w:val="center"/>
              <w:rPr>
                <w:szCs w:val="21"/>
              </w:rPr>
            </w:pPr>
          </w:p>
        </w:tc>
        <w:tc>
          <w:tcPr>
            <w:tcW w:w="1503" w:type="dxa"/>
            <w:vAlign w:val="center"/>
          </w:tcPr>
          <w:p>
            <w:pPr>
              <w:jc w:val="center"/>
              <w:rPr>
                <w:szCs w:val="21"/>
              </w:rPr>
            </w:pP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jc w:val="center"/>
              <w:rPr>
                <w:rFonts w:ascii="宋体" w:hAnsi="宋体"/>
                <w:szCs w:val="21"/>
              </w:rPr>
            </w:pPr>
            <w:r>
              <w:rPr>
                <w:rFonts w:hint="eastAsia" w:ascii="宋体" w:hAnsi="宋体"/>
                <w:szCs w:val="21"/>
              </w:rPr>
              <w:t>2</w:t>
            </w:r>
          </w:p>
        </w:tc>
        <w:tc>
          <w:tcPr>
            <w:tcW w:w="1213" w:type="dxa"/>
            <w:vAlign w:val="center"/>
          </w:tcPr>
          <w:p>
            <w:pPr>
              <w:jc w:val="center"/>
              <w:rPr>
                <w:szCs w:val="21"/>
              </w:rPr>
            </w:pPr>
          </w:p>
        </w:tc>
        <w:tc>
          <w:tcPr>
            <w:tcW w:w="1840" w:type="dxa"/>
            <w:vAlign w:val="center"/>
          </w:tcPr>
          <w:p>
            <w:pPr>
              <w:jc w:val="center"/>
              <w:rPr>
                <w:szCs w:val="21"/>
              </w:rPr>
            </w:pPr>
          </w:p>
        </w:tc>
        <w:tc>
          <w:tcPr>
            <w:tcW w:w="818" w:type="dxa"/>
            <w:vAlign w:val="center"/>
          </w:tcPr>
          <w:p>
            <w:pPr>
              <w:jc w:val="center"/>
              <w:rPr>
                <w:szCs w:val="21"/>
              </w:rPr>
            </w:pPr>
          </w:p>
        </w:tc>
        <w:tc>
          <w:tcPr>
            <w:tcW w:w="1241" w:type="dxa"/>
            <w:vAlign w:val="center"/>
          </w:tcPr>
          <w:p>
            <w:pPr>
              <w:jc w:val="center"/>
              <w:rPr>
                <w:szCs w:val="21"/>
              </w:rPr>
            </w:pPr>
          </w:p>
        </w:tc>
        <w:tc>
          <w:tcPr>
            <w:tcW w:w="2292" w:type="dxa"/>
            <w:vAlign w:val="center"/>
          </w:tcPr>
          <w:p>
            <w:pPr>
              <w:jc w:val="center"/>
              <w:rPr>
                <w:szCs w:val="21"/>
              </w:rPr>
            </w:pPr>
          </w:p>
        </w:tc>
        <w:tc>
          <w:tcPr>
            <w:tcW w:w="1503" w:type="dxa"/>
            <w:vAlign w:val="center"/>
          </w:tcPr>
          <w:p>
            <w:pPr>
              <w:jc w:val="center"/>
              <w:rPr>
                <w:szCs w:val="21"/>
              </w:rPr>
            </w:pPr>
          </w:p>
        </w:tc>
        <w:tc>
          <w:tcPr>
            <w:tcW w:w="720" w:type="dxa"/>
            <w:vAlign w:val="center"/>
          </w:tcPr>
          <w:p>
            <w:pPr>
              <w:jc w:val="cente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pPr>
        <w:widowControl/>
        <w:jc w:val="left"/>
      </w:pPr>
      <w:r>
        <w:br w:type="page"/>
      </w:r>
    </w:p>
    <w:p/>
    <w:p>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1"/>
      <w:bookmarkEnd w:id="62"/>
      <w:bookmarkEnd w:id="63"/>
      <w:bookmarkEnd w:id="64"/>
      <w:bookmarkEnd w:id="65"/>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94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pPr>
              <w:adjustRightInd w:val="0"/>
              <w:snapToGrid w:val="0"/>
              <w:spacing w:line="360" w:lineRule="auto"/>
              <w:jc w:val="center"/>
            </w:pPr>
            <w:r>
              <w:rPr>
                <w:rFonts w:hint="eastAsia" w:asciiTheme="minorEastAsia" w:hAnsiTheme="minorEastAsia" w:eastAsiaTheme="minorEastAsia"/>
              </w:rPr>
              <w:t>知识产权保护类专项资金申报受理评审验收组织工作辅助服务</w:t>
            </w:r>
          </w:p>
        </w:tc>
        <w:tc>
          <w:tcPr>
            <w:tcW w:w="4034" w:type="dxa"/>
            <w:tcBorders>
              <w:top w:val="single" w:color="auto" w:sz="4" w:space="0"/>
            </w:tcBorders>
            <w:vAlign w:val="center"/>
          </w:tcPr>
          <w:p>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法定代表人或其授权代表：（签字）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
    <w:p/>
    <w:p/>
    <w:p/>
    <w:p/>
    <w:p/>
    <w:p/>
    <w:p/>
    <w:p>
      <w:r>
        <w:br w:type="page"/>
      </w:r>
    </w:p>
    <w:p/>
    <w:p>
      <w:pPr>
        <w:pStyle w:val="4"/>
        <w:tabs>
          <w:tab w:val="left" w:pos="371"/>
        </w:tabs>
        <w:spacing w:before="120" w:after="120"/>
        <w:ind w:left="-1" w:leftChars="-1" w:hanging="1"/>
        <w:jc w:val="center"/>
        <w:rPr>
          <w:rFonts w:asciiTheme="minorEastAsia" w:hAnsiTheme="minorEastAsia" w:eastAsiaTheme="minorEastAsia"/>
        </w:rPr>
      </w:pPr>
      <w:bookmarkStart w:id="66" w:name="_Toc44691166"/>
      <w:bookmarkStart w:id="67" w:name="_Toc44690707"/>
      <w:bookmarkStart w:id="68" w:name="_Toc44690434"/>
      <w:bookmarkStart w:id="69" w:name="_Toc135293187"/>
      <w:bookmarkStart w:id="70" w:name="_Toc44691398"/>
      <w:r>
        <w:rPr>
          <w:rFonts w:hint="eastAsia" w:asciiTheme="minorEastAsia" w:hAnsiTheme="minorEastAsia" w:eastAsiaTheme="minorEastAsia"/>
        </w:rPr>
        <w:t>格式6  报价表</w:t>
      </w:r>
      <w:bookmarkEnd w:id="66"/>
      <w:bookmarkEnd w:id="67"/>
      <w:bookmarkEnd w:id="68"/>
      <w:bookmarkEnd w:id="69"/>
      <w:bookmarkEnd w:id="70"/>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50"/>
        <w:tblW w:w="960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pPr>
              <w:adjustRightInd w:val="0"/>
              <w:snapToGrid w:val="0"/>
              <w:spacing w:line="300" w:lineRule="auto"/>
              <w:jc w:val="center"/>
              <w:rPr>
                <w:b/>
                <w:snapToGrid w:val="0"/>
                <w:kern w:val="0"/>
              </w:rPr>
            </w:pPr>
            <w:r>
              <w:rPr>
                <w:b/>
                <w:snapToGrid w:val="0"/>
                <w:kern w:val="0"/>
              </w:rPr>
              <w:t>序号</w:t>
            </w:r>
          </w:p>
        </w:tc>
        <w:tc>
          <w:tcPr>
            <w:tcW w:w="3588"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pPr>
              <w:adjustRightInd w:val="0"/>
              <w:snapToGrid w:val="0"/>
              <w:spacing w:line="300" w:lineRule="auto"/>
              <w:rPr>
                <w:rFonts w:ascii="宋体" w:hAnsi="宋体"/>
                <w:snapToGrid w:val="0"/>
                <w:kern w:val="0"/>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pPr>
              <w:adjustRightInd w:val="0"/>
              <w:snapToGrid w:val="0"/>
              <w:spacing w:line="300" w:lineRule="auto"/>
              <w:jc w:val="center"/>
              <w:rPr>
                <w:snapToGrid w:val="0"/>
                <w:kern w:val="0"/>
              </w:rPr>
            </w:pPr>
            <w:r>
              <w:rPr>
                <w:snapToGrid w:val="0"/>
                <w:kern w:val="0"/>
              </w:rPr>
              <w:t>合   计</w:t>
            </w: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bl>
    <w:p>
      <w:pPr>
        <w:adjustRightInd w:val="0"/>
        <w:snapToGrid w:val="0"/>
        <w:spacing w:line="300" w:lineRule="auto"/>
        <w:rPr>
          <w:snapToGrid w:val="0"/>
          <w:kern w:val="0"/>
        </w:rPr>
      </w:pPr>
    </w:p>
    <w:p>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wordWrap w:val="0"/>
        <w:adjustRightInd w:val="0"/>
        <w:snapToGrid w:val="0"/>
        <w:spacing w:line="300" w:lineRule="auto"/>
        <w:jc w:val="right"/>
      </w:pPr>
      <w:r>
        <w:rPr>
          <w:rFonts w:hint="eastAsia"/>
          <w:snapToGrid w:val="0"/>
          <w:kern w:val="0"/>
        </w:rPr>
        <w:t>年    月   日</w:t>
      </w:r>
    </w:p>
    <w:p>
      <w:pPr>
        <w:pStyle w:val="28"/>
        <w:adjustRightInd w:val="0"/>
        <w:snapToGrid w:val="0"/>
        <w:spacing w:line="312" w:lineRule="auto"/>
        <w:jc w:val="center"/>
        <w:rPr>
          <w:rFonts w:ascii="Times New Roman" w:hAnsi="Times New Roman"/>
          <w:b/>
          <w:sz w:val="28"/>
        </w:rPr>
      </w:pPr>
    </w:p>
    <w:p/>
    <w:p/>
    <w:p/>
    <w:p/>
    <w:p/>
    <w:p/>
    <w:p/>
    <w:p/>
    <w:p/>
    <w:p/>
    <w:p/>
    <w:p>
      <w:pPr>
        <w:pStyle w:val="4"/>
        <w:tabs>
          <w:tab w:val="left" w:pos="371"/>
        </w:tabs>
        <w:spacing w:before="120" w:after="120"/>
        <w:ind w:left="-1" w:leftChars="-1" w:hanging="1"/>
        <w:jc w:val="center"/>
        <w:rPr>
          <w:rFonts w:asciiTheme="minorEastAsia" w:hAnsiTheme="minorEastAsia" w:eastAsiaTheme="minorEastAsia"/>
        </w:rPr>
      </w:pPr>
      <w:bookmarkStart w:id="71" w:name="_Toc135293188"/>
      <w:bookmarkStart w:id="72" w:name="_Toc44691167"/>
      <w:bookmarkStart w:id="73" w:name="_Toc44690708"/>
      <w:bookmarkStart w:id="74" w:name="_Toc44690435"/>
      <w:bookmarkStart w:id="75" w:name="_Toc44691399"/>
      <w:r>
        <w:rPr>
          <w:rFonts w:hint="eastAsia" w:asciiTheme="minorEastAsia" w:hAnsiTheme="minorEastAsia" w:eastAsiaTheme="minorEastAsia"/>
        </w:rPr>
        <w:t>格式7  服务方案</w:t>
      </w:r>
      <w:bookmarkEnd w:id="71"/>
      <w:bookmarkEnd w:id="72"/>
      <w:bookmarkEnd w:id="73"/>
      <w:bookmarkEnd w:id="74"/>
      <w:bookmarkEnd w:id="75"/>
    </w:p>
    <w:p>
      <w:pPr>
        <w:pStyle w:val="7"/>
      </w:pPr>
    </w:p>
    <w:p>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1、实施方案</w:t>
      </w:r>
    </w:p>
    <w:p>
      <w:pPr>
        <w:spacing w:line="360" w:lineRule="auto"/>
        <w:ind w:firstLine="420" w:firstLineChars="200"/>
        <w:rPr>
          <w:rFonts w:ascii="宋体" w:hAnsi="宋体"/>
          <w:szCs w:val="21"/>
        </w:rPr>
      </w:pPr>
      <w:r>
        <w:rPr>
          <w:rFonts w:hint="eastAsia" w:ascii="宋体" w:hAnsi="宋体"/>
          <w:szCs w:val="21"/>
        </w:rPr>
        <w:t>2、项目重点难点分析、应对措施及相关的合理化建议</w:t>
      </w:r>
    </w:p>
    <w:p>
      <w:pPr>
        <w:spacing w:line="360" w:lineRule="auto"/>
        <w:ind w:firstLine="420" w:firstLineChars="200"/>
        <w:rPr>
          <w:rFonts w:ascii="宋体" w:hAnsi="宋体"/>
          <w:szCs w:val="21"/>
        </w:rPr>
      </w:pPr>
      <w:r>
        <w:rPr>
          <w:rFonts w:hint="eastAsia" w:ascii="宋体" w:hAnsi="宋体"/>
          <w:szCs w:val="21"/>
        </w:rPr>
        <w:t>3、质量（完成时间、安全、环保）保障措施及方案</w:t>
      </w:r>
    </w:p>
    <w:p>
      <w:pPr>
        <w:spacing w:line="360" w:lineRule="auto"/>
        <w:ind w:firstLine="420" w:firstLineChars="200"/>
        <w:rPr>
          <w:rFonts w:ascii="宋体" w:hAnsi="宋体"/>
          <w:szCs w:val="21"/>
        </w:rPr>
      </w:pPr>
      <w:r>
        <w:rPr>
          <w:rFonts w:hint="eastAsia" w:ascii="宋体" w:hAnsi="宋体"/>
          <w:szCs w:val="21"/>
        </w:rPr>
        <w:t>4、拟安排的项目负责人情况（仅限一人）</w:t>
      </w:r>
    </w:p>
    <w:p>
      <w:pPr>
        <w:spacing w:line="360" w:lineRule="auto"/>
        <w:ind w:firstLine="420" w:firstLineChars="200"/>
        <w:rPr>
          <w:rFonts w:ascii="宋体" w:hAnsi="宋体"/>
          <w:szCs w:val="21"/>
        </w:rPr>
      </w:pPr>
      <w:r>
        <w:rPr>
          <w:rFonts w:hint="eastAsia" w:ascii="宋体" w:hAnsi="宋体"/>
          <w:szCs w:val="21"/>
        </w:rPr>
        <w:t>5、拟安排的项目主要团队成员（主要技术人员）情况（项目负责人除外）</w:t>
      </w:r>
    </w:p>
    <w:p>
      <w:pPr>
        <w:spacing w:line="360" w:lineRule="auto"/>
        <w:ind w:firstLine="420" w:firstLineChars="200"/>
        <w:rPr>
          <w:rFonts w:ascii="宋体" w:hAnsi="宋体"/>
          <w:szCs w:val="21"/>
        </w:rPr>
      </w:pPr>
      <w:r>
        <w:rPr>
          <w:rFonts w:hint="eastAsia" w:ascii="宋体" w:hAnsi="宋体"/>
          <w:szCs w:val="21"/>
        </w:rPr>
        <w:t>6、供应商认证情况</w:t>
      </w:r>
    </w:p>
    <w:p>
      <w:pPr>
        <w:spacing w:line="360" w:lineRule="auto"/>
        <w:ind w:firstLine="420" w:firstLineChars="200"/>
        <w:rPr>
          <w:rFonts w:ascii="宋体" w:hAnsi="宋体"/>
          <w:szCs w:val="21"/>
        </w:rPr>
      </w:pPr>
      <w:r>
        <w:rPr>
          <w:rFonts w:hint="eastAsia" w:ascii="宋体" w:hAnsi="宋体"/>
          <w:szCs w:val="21"/>
        </w:rPr>
        <w:t>7、供应商同类项目业绩情况</w:t>
      </w:r>
    </w:p>
    <w:p>
      <w:pPr>
        <w:spacing w:line="360" w:lineRule="auto"/>
        <w:ind w:firstLine="420" w:firstLineChars="200"/>
        <w:rPr>
          <w:rFonts w:ascii="宋体" w:hAnsi="宋体"/>
          <w:szCs w:val="21"/>
        </w:rPr>
      </w:pPr>
      <w:r>
        <w:rPr>
          <w:rFonts w:hint="eastAsia" w:ascii="宋体" w:hAnsi="宋体"/>
          <w:szCs w:val="21"/>
        </w:rPr>
        <w:t>8、诚信评审</w:t>
      </w:r>
    </w:p>
    <w:p>
      <w:pPr>
        <w:spacing w:line="360" w:lineRule="auto"/>
        <w:ind w:left="420"/>
        <w:rPr>
          <w:rFonts w:ascii="宋体" w:hAnsi="宋体"/>
          <w:bCs/>
        </w:rPr>
      </w:pPr>
      <w:r>
        <w:rPr>
          <w:rFonts w:hint="eastAsia" w:ascii="宋体" w:hAnsi="宋体"/>
          <w:bCs/>
        </w:rPr>
        <w:t>9、投标人认为必要的其他方案</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8248"/>
          <w:tab w:val="left" w:pos="9368"/>
        </w:tabs>
        <w:spacing w:line="360" w:lineRule="auto"/>
      </w:pPr>
      <w:r>
        <w:rPr>
          <w:rFonts w:hint="eastAsia"/>
        </w:rPr>
        <w:t>附表：</w:t>
      </w:r>
    </w:p>
    <w:p>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50"/>
        <w:tblW w:w="97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556"/>
        <w:gridCol w:w="1425"/>
        <w:gridCol w:w="720"/>
        <w:gridCol w:w="660"/>
        <w:gridCol w:w="1230"/>
        <w:gridCol w:w="1665"/>
        <w:gridCol w:w="1065"/>
        <w:gridCol w:w="1440"/>
        <w:gridCol w:w="9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556"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25"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720"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660"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230"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665"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065"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44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c>
          <w:tcPr>
            <w:tcW w:w="953" w:type="dxa"/>
            <w:vAlign w:val="center"/>
          </w:tcPr>
          <w:p>
            <w:pPr>
              <w:jc w:val="center"/>
              <w:rPr>
                <w:rFonts w:hint="default" w:ascii="宋体" w:hAnsi="宋体" w:eastAsia="宋体" w:cs="Courier New"/>
                <w:snapToGrid w:val="0"/>
                <w:szCs w:val="21"/>
                <w:lang w:val="en-US" w:eastAsia="zh-CN"/>
              </w:rPr>
            </w:pPr>
            <w:r>
              <w:rPr>
                <w:rFonts w:hint="eastAsia" w:ascii="宋体" w:hAnsi="宋体" w:cs="Courier New"/>
                <w:snapToGrid w:val="0"/>
                <w:szCs w:val="21"/>
                <w:lang w:val="en-US" w:eastAsia="zh-CN"/>
              </w:rPr>
              <w:t>是否驻点人员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556"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25"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720" w:type="dxa"/>
            <w:vAlign w:val="center"/>
          </w:tcPr>
          <w:p>
            <w:pPr>
              <w:rPr>
                <w:rFonts w:ascii="宋体" w:hAnsi="宋体" w:cs="Courier New"/>
                <w:snapToGrid w:val="0"/>
                <w:szCs w:val="21"/>
              </w:rPr>
            </w:pPr>
          </w:p>
        </w:tc>
        <w:tc>
          <w:tcPr>
            <w:tcW w:w="660" w:type="dxa"/>
            <w:vAlign w:val="center"/>
          </w:tcPr>
          <w:p>
            <w:pPr>
              <w:rPr>
                <w:rFonts w:ascii="宋体" w:hAnsi="宋体" w:cs="Courier New"/>
                <w:snapToGrid w:val="0"/>
                <w:szCs w:val="21"/>
              </w:rPr>
            </w:pPr>
          </w:p>
        </w:tc>
        <w:tc>
          <w:tcPr>
            <w:tcW w:w="1230" w:type="dxa"/>
            <w:vAlign w:val="center"/>
          </w:tcPr>
          <w:p>
            <w:pPr>
              <w:rPr>
                <w:rFonts w:ascii="宋体" w:hAnsi="宋体" w:cs="Courier New"/>
                <w:snapToGrid w:val="0"/>
                <w:szCs w:val="21"/>
              </w:rPr>
            </w:pPr>
          </w:p>
        </w:tc>
        <w:tc>
          <w:tcPr>
            <w:tcW w:w="1665" w:type="dxa"/>
            <w:vAlign w:val="center"/>
          </w:tcPr>
          <w:p>
            <w:pPr>
              <w:rPr>
                <w:rFonts w:ascii="宋体" w:hAnsi="宋体" w:cs="Courier New"/>
                <w:snapToGrid w:val="0"/>
                <w:szCs w:val="21"/>
              </w:rPr>
            </w:pPr>
          </w:p>
        </w:tc>
        <w:tc>
          <w:tcPr>
            <w:tcW w:w="1065" w:type="dxa"/>
            <w:vAlign w:val="center"/>
          </w:tcPr>
          <w:p>
            <w:pPr>
              <w:rPr>
                <w:rFonts w:ascii="宋体" w:hAnsi="宋体" w:cs="Courier New"/>
                <w:snapToGrid w:val="0"/>
                <w:szCs w:val="21"/>
              </w:rPr>
            </w:pPr>
          </w:p>
        </w:tc>
        <w:tc>
          <w:tcPr>
            <w:tcW w:w="1440" w:type="dxa"/>
            <w:vAlign w:val="center"/>
          </w:tcPr>
          <w:p>
            <w:pPr>
              <w:rPr>
                <w:rFonts w:ascii="宋体" w:hAnsi="宋体" w:cs="Courier New"/>
                <w:snapToGrid w:val="0"/>
                <w:szCs w:val="21"/>
              </w:rPr>
            </w:pPr>
          </w:p>
        </w:tc>
        <w:tc>
          <w:tcPr>
            <w:tcW w:w="953"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556" w:type="dxa"/>
          </w:tcPr>
          <w:p>
            <w:pPr>
              <w:jc w:val="center"/>
              <w:rPr>
                <w:rFonts w:ascii="宋体" w:hAnsi="宋体" w:cs="Courier New"/>
                <w:snapToGrid w:val="0"/>
                <w:szCs w:val="21"/>
              </w:rPr>
            </w:pPr>
            <w:r>
              <w:rPr>
                <w:rFonts w:hint="eastAsia" w:ascii="宋体" w:hAnsi="宋体" w:cs="Courier New"/>
                <w:snapToGrid w:val="0"/>
                <w:szCs w:val="21"/>
              </w:rPr>
              <w:t>2</w:t>
            </w:r>
          </w:p>
        </w:tc>
        <w:tc>
          <w:tcPr>
            <w:tcW w:w="1425"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720" w:type="dxa"/>
          </w:tcPr>
          <w:p>
            <w:pPr>
              <w:rPr>
                <w:rFonts w:ascii="宋体" w:hAnsi="宋体" w:cs="Courier New"/>
                <w:snapToGrid w:val="0"/>
                <w:szCs w:val="21"/>
              </w:rPr>
            </w:pPr>
          </w:p>
        </w:tc>
        <w:tc>
          <w:tcPr>
            <w:tcW w:w="660" w:type="dxa"/>
          </w:tcPr>
          <w:p>
            <w:pPr>
              <w:rPr>
                <w:rFonts w:ascii="宋体" w:hAnsi="宋体" w:cs="Courier New"/>
                <w:snapToGrid w:val="0"/>
                <w:szCs w:val="21"/>
              </w:rPr>
            </w:pPr>
          </w:p>
        </w:tc>
        <w:tc>
          <w:tcPr>
            <w:tcW w:w="1230" w:type="dxa"/>
          </w:tcPr>
          <w:p>
            <w:pPr>
              <w:rPr>
                <w:rFonts w:ascii="宋体" w:hAnsi="宋体" w:cs="Courier New"/>
                <w:snapToGrid w:val="0"/>
                <w:szCs w:val="21"/>
              </w:rPr>
            </w:pPr>
          </w:p>
        </w:tc>
        <w:tc>
          <w:tcPr>
            <w:tcW w:w="1665" w:type="dxa"/>
          </w:tcPr>
          <w:p>
            <w:pPr>
              <w:rPr>
                <w:rFonts w:ascii="宋体" w:hAnsi="宋体" w:cs="Courier New"/>
                <w:snapToGrid w:val="0"/>
                <w:szCs w:val="21"/>
              </w:rPr>
            </w:pPr>
          </w:p>
        </w:tc>
        <w:tc>
          <w:tcPr>
            <w:tcW w:w="1065" w:type="dxa"/>
          </w:tcPr>
          <w:p>
            <w:pPr>
              <w:rPr>
                <w:rFonts w:ascii="宋体" w:hAnsi="宋体" w:cs="Courier New"/>
                <w:snapToGrid w:val="0"/>
                <w:szCs w:val="21"/>
              </w:rPr>
            </w:pPr>
          </w:p>
        </w:tc>
        <w:tc>
          <w:tcPr>
            <w:tcW w:w="1440" w:type="dxa"/>
          </w:tcPr>
          <w:p>
            <w:pPr>
              <w:rPr>
                <w:rFonts w:ascii="宋体" w:hAnsi="宋体" w:cs="Courier New"/>
                <w:snapToGrid w:val="0"/>
                <w:szCs w:val="21"/>
              </w:rPr>
            </w:pPr>
          </w:p>
        </w:tc>
        <w:tc>
          <w:tcPr>
            <w:tcW w:w="953"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556" w:type="dxa"/>
          </w:tcPr>
          <w:p>
            <w:pPr>
              <w:jc w:val="center"/>
              <w:rPr>
                <w:rFonts w:ascii="宋体" w:hAnsi="宋体" w:cs="Courier New"/>
                <w:snapToGrid w:val="0"/>
                <w:szCs w:val="21"/>
              </w:rPr>
            </w:pPr>
            <w:r>
              <w:rPr>
                <w:rFonts w:hint="eastAsia" w:ascii="宋体" w:hAnsi="宋体" w:cs="Courier New"/>
                <w:snapToGrid w:val="0"/>
                <w:szCs w:val="21"/>
              </w:rPr>
              <w:t>3</w:t>
            </w:r>
          </w:p>
        </w:tc>
        <w:tc>
          <w:tcPr>
            <w:tcW w:w="1425" w:type="dxa"/>
            <w:vMerge w:val="continue"/>
          </w:tcPr>
          <w:p>
            <w:pPr>
              <w:jc w:val="center"/>
              <w:rPr>
                <w:rFonts w:ascii="宋体" w:hAnsi="宋体" w:cs="Courier New"/>
                <w:snapToGrid w:val="0"/>
                <w:szCs w:val="21"/>
              </w:rPr>
            </w:pPr>
          </w:p>
        </w:tc>
        <w:tc>
          <w:tcPr>
            <w:tcW w:w="720" w:type="dxa"/>
          </w:tcPr>
          <w:p>
            <w:pPr>
              <w:rPr>
                <w:rFonts w:ascii="宋体" w:hAnsi="宋体" w:cs="Courier New"/>
                <w:snapToGrid w:val="0"/>
                <w:szCs w:val="21"/>
              </w:rPr>
            </w:pPr>
          </w:p>
        </w:tc>
        <w:tc>
          <w:tcPr>
            <w:tcW w:w="660" w:type="dxa"/>
          </w:tcPr>
          <w:p>
            <w:pPr>
              <w:rPr>
                <w:rFonts w:ascii="宋体" w:hAnsi="宋体" w:cs="Courier New"/>
                <w:snapToGrid w:val="0"/>
                <w:szCs w:val="21"/>
              </w:rPr>
            </w:pPr>
          </w:p>
        </w:tc>
        <w:tc>
          <w:tcPr>
            <w:tcW w:w="1230" w:type="dxa"/>
          </w:tcPr>
          <w:p>
            <w:pPr>
              <w:rPr>
                <w:rFonts w:ascii="宋体" w:hAnsi="宋体" w:cs="Courier New"/>
                <w:snapToGrid w:val="0"/>
                <w:szCs w:val="21"/>
              </w:rPr>
            </w:pPr>
          </w:p>
        </w:tc>
        <w:tc>
          <w:tcPr>
            <w:tcW w:w="1665" w:type="dxa"/>
          </w:tcPr>
          <w:p>
            <w:pPr>
              <w:rPr>
                <w:rFonts w:ascii="宋体" w:hAnsi="宋体" w:cs="Courier New"/>
                <w:snapToGrid w:val="0"/>
                <w:szCs w:val="21"/>
              </w:rPr>
            </w:pPr>
          </w:p>
        </w:tc>
        <w:tc>
          <w:tcPr>
            <w:tcW w:w="1065" w:type="dxa"/>
          </w:tcPr>
          <w:p>
            <w:pPr>
              <w:rPr>
                <w:rFonts w:ascii="宋体" w:hAnsi="宋体" w:cs="Courier New"/>
                <w:snapToGrid w:val="0"/>
                <w:szCs w:val="21"/>
              </w:rPr>
            </w:pPr>
          </w:p>
        </w:tc>
        <w:tc>
          <w:tcPr>
            <w:tcW w:w="1440" w:type="dxa"/>
          </w:tcPr>
          <w:p>
            <w:pPr>
              <w:rPr>
                <w:rFonts w:ascii="宋体" w:hAnsi="宋体" w:cs="Courier New"/>
                <w:snapToGrid w:val="0"/>
                <w:szCs w:val="21"/>
              </w:rPr>
            </w:pPr>
          </w:p>
        </w:tc>
        <w:tc>
          <w:tcPr>
            <w:tcW w:w="953"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556" w:type="dxa"/>
          </w:tcPr>
          <w:p>
            <w:pPr>
              <w:jc w:val="center"/>
              <w:rPr>
                <w:rFonts w:ascii="宋体" w:hAnsi="宋体" w:cs="Courier New"/>
                <w:snapToGrid w:val="0"/>
                <w:szCs w:val="21"/>
              </w:rPr>
            </w:pPr>
            <w:r>
              <w:rPr>
                <w:rFonts w:hint="eastAsia" w:ascii="宋体" w:hAnsi="宋体" w:cs="Courier New"/>
                <w:snapToGrid w:val="0"/>
                <w:szCs w:val="21"/>
              </w:rPr>
              <w:t>4</w:t>
            </w:r>
          </w:p>
        </w:tc>
        <w:tc>
          <w:tcPr>
            <w:tcW w:w="1425" w:type="dxa"/>
            <w:vMerge w:val="continue"/>
          </w:tcPr>
          <w:p>
            <w:pPr>
              <w:jc w:val="center"/>
              <w:rPr>
                <w:rFonts w:ascii="宋体" w:hAnsi="宋体" w:cs="Courier New"/>
                <w:snapToGrid w:val="0"/>
                <w:szCs w:val="21"/>
              </w:rPr>
            </w:pPr>
          </w:p>
        </w:tc>
        <w:tc>
          <w:tcPr>
            <w:tcW w:w="720" w:type="dxa"/>
          </w:tcPr>
          <w:p>
            <w:pPr>
              <w:rPr>
                <w:rFonts w:ascii="宋体" w:hAnsi="宋体" w:cs="Courier New"/>
                <w:snapToGrid w:val="0"/>
                <w:szCs w:val="21"/>
              </w:rPr>
            </w:pPr>
          </w:p>
        </w:tc>
        <w:tc>
          <w:tcPr>
            <w:tcW w:w="660" w:type="dxa"/>
          </w:tcPr>
          <w:p>
            <w:pPr>
              <w:rPr>
                <w:rFonts w:ascii="宋体" w:hAnsi="宋体" w:cs="Courier New"/>
                <w:snapToGrid w:val="0"/>
                <w:szCs w:val="21"/>
              </w:rPr>
            </w:pPr>
          </w:p>
        </w:tc>
        <w:tc>
          <w:tcPr>
            <w:tcW w:w="1230" w:type="dxa"/>
          </w:tcPr>
          <w:p>
            <w:pPr>
              <w:rPr>
                <w:rFonts w:ascii="宋体" w:hAnsi="宋体" w:cs="Courier New"/>
                <w:snapToGrid w:val="0"/>
                <w:szCs w:val="21"/>
              </w:rPr>
            </w:pPr>
          </w:p>
        </w:tc>
        <w:tc>
          <w:tcPr>
            <w:tcW w:w="1665" w:type="dxa"/>
          </w:tcPr>
          <w:p>
            <w:pPr>
              <w:rPr>
                <w:rFonts w:ascii="宋体" w:hAnsi="宋体" w:cs="Courier New"/>
                <w:snapToGrid w:val="0"/>
                <w:szCs w:val="21"/>
              </w:rPr>
            </w:pPr>
          </w:p>
        </w:tc>
        <w:tc>
          <w:tcPr>
            <w:tcW w:w="1065" w:type="dxa"/>
          </w:tcPr>
          <w:p>
            <w:pPr>
              <w:rPr>
                <w:rFonts w:ascii="宋体" w:hAnsi="宋体" w:cs="Courier New"/>
                <w:snapToGrid w:val="0"/>
                <w:szCs w:val="21"/>
              </w:rPr>
            </w:pPr>
          </w:p>
        </w:tc>
        <w:tc>
          <w:tcPr>
            <w:tcW w:w="1440" w:type="dxa"/>
          </w:tcPr>
          <w:p>
            <w:pPr>
              <w:rPr>
                <w:rFonts w:ascii="宋体" w:hAnsi="宋体" w:cs="Courier New"/>
                <w:snapToGrid w:val="0"/>
                <w:szCs w:val="21"/>
              </w:rPr>
            </w:pPr>
          </w:p>
        </w:tc>
        <w:tc>
          <w:tcPr>
            <w:tcW w:w="953"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556" w:type="dxa"/>
          </w:tcPr>
          <w:p>
            <w:pPr>
              <w:jc w:val="center"/>
              <w:rPr>
                <w:rFonts w:ascii="宋体" w:hAnsi="宋体" w:cs="Courier New"/>
                <w:snapToGrid w:val="0"/>
                <w:szCs w:val="21"/>
              </w:rPr>
            </w:pPr>
            <w:r>
              <w:rPr>
                <w:rFonts w:hint="eastAsia" w:ascii="宋体" w:hAnsi="宋体" w:cs="Courier New"/>
                <w:snapToGrid w:val="0"/>
                <w:szCs w:val="21"/>
              </w:rPr>
              <w:t>5</w:t>
            </w:r>
          </w:p>
        </w:tc>
        <w:tc>
          <w:tcPr>
            <w:tcW w:w="1425" w:type="dxa"/>
            <w:vMerge w:val="continue"/>
          </w:tcPr>
          <w:p>
            <w:pPr>
              <w:jc w:val="center"/>
              <w:rPr>
                <w:rFonts w:ascii="宋体" w:hAnsi="宋体" w:cs="Courier New"/>
                <w:snapToGrid w:val="0"/>
                <w:szCs w:val="21"/>
              </w:rPr>
            </w:pPr>
          </w:p>
        </w:tc>
        <w:tc>
          <w:tcPr>
            <w:tcW w:w="720" w:type="dxa"/>
          </w:tcPr>
          <w:p>
            <w:pPr>
              <w:rPr>
                <w:rFonts w:ascii="宋体" w:hAnsi="宋体" w:cs="Courier New"/>
                <w:snapToGrid w:val="0"/>
                <w:szCs w:val="21"/>
              </w:rPr>
            </w:pPr>
          </w:p>
        </w:tc>
        <w:tc>
          <w:tcPr>
            <w:tcW w:w="660" w:type="dxa"/>
          </w:tcPr>
          <w:p>
            <w:pPr>
              <w:rPr>
                <w:rFonts w:ascii="宋体" w:hAnsi="宋体" w:cs="Courier New"/>
                <w:snapToGrid w:val="0"/>
                <w:szCs w:val="21"/>
              </w:rPr>
            </w:pPr>
          </w:p>
        </w:tc>
        <w:tc>
          <w:tcPr>
            <w:tcW w:w="1230" w:type="dxa"/>
          </w:tcPr>
          <w:p>
            <w:pPr>
              <w:rPr>
                <w:rFonts w:ascii="宋体" w:hAnsi="宋体" w:cs="Courier New"/>
                <w:snapToGrid w:val="0"/>
                <w:szCs w:val="21"/>
              </w:rPr>
            </w:pPr>
          </w:p>
        </w:tc>
        <w:tc>
          <w:tcPr>
            <w:tcW w:w="1665" w:type="dxa"/>
          </w:tcPr>
          <w:p>
            <w:pPr>
              <w:rPr>
                <w:rFonts w:ascii="宋体" w:hAnsi="宋体" w:cs="Courier New"/>
                <w:snapToGrid w:val="0"/>
                <w:szCs w:val="21"/>
              </w:rPr>
            </w:pPr>
          </w:p>
        </w:tc>
        <w:tc>
          <w:tcPr>
            <w:tcW w:w="1065" w:type="dxa"/>
          </w:tcPr>
          <w:p>
            <w:pPr>
              <w:rPr>
                <w:rFonts w:ascii="宋体" w:hAnsi="宋体" w:cs="Courier New"/>
                <w:snapToGrid w:val="0"/>
                <w:szCs w:val="21"/>
              </w:rPr>
            </w:pPr>
          </w:p>
        </w:tc>
        <w:tc>
          <w:tcPr>
            <w:tcW w:w="1440" w:type="dxa"/>
          </w:tcPr>
          <w:p>
            <w:pPr>
              <w:rPr>
                <w:rFonts w:ascii="宋体" w:hAnsi="宋体" w:cs="Courier New"/>
                <w:snapToGrid w:val="0"/>
                <w:szCs w:val="21"/>
              </w:rPr>
            </w:pPr>
          </w:p>
        </w:tc>
        <w:tc>
          <w:tcPr>
            <w:tcW w:w="953"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556" w:type="dxa"/>
          </w:tcPr>
          <w:p>
            <w:pPr>
              <w:jc w:val="center"/>
              <w:rPr>
                <w:rFonts w:ascii="宋体" w:hAnsi="宋体" w:cs="Courier New"/>
                <w:snapToGrid w:val="0"/>
                <w:szCs w:val="21"/>
              </w:rPr>
            </w:pPr>
            <w:r>
              <w:rPr>
                <w:rFonts w:hint="eastAsia" w:ascii="宋体" w:hAnsi="宋体" w:cs="Courier New"/>
                <w:snapToGrid w:val="0"/>
                <w:szCs w:val="21"/>
              </w:rPr>
              <w:t>6</w:t>
            </w:r>
          </w:p>
        </w:tc>
        <w:tc>
          <w:tcPr>
            <w:tcW w:w="1425" w:type="dxa"/>
            <w:vMerge w:val="continue"/>
          </w:tcPr>
          <w:p>
            <w:pPr>
              <w:jc w:val="center"/>
              <w:rPr>
                <w:rFonts w:ascii="宋体" w:hAnsi="宋体" w:cs="Courier New"/>
                <w:snapToGrid w:val="0"/>
                <w:szCs w:val="21"/>
              </w:rPr>
            </w:pPr>
          </w:p>
        </w:tc>
        <w:tc>
          <w:tcPr>
            <w:tcW w:w="720" w:type="dxa"/>
          </w:tcPr>
          <w:p>
            <w:pPr>
              <w:rPr>
                <w:rFonts w:ascii="宋体" w:hAnsi="宋体" w:cs="Courier New"/>
                <w:snapToGrid w:val="0"/>
                <w:szCs w:val="21"/>
              </w:rPr>
            </w:pPr>
          </w:p>
        </w:tc>
        <w:tc>
          <w:tcPr>
            <w:tcW w:w="660" w:type="dxa"/>
          </w:tcPr>
          <w:p>
            <w:pPr>
              <w:rPr>
                <w:rFonts w:ascii="宋体" w:hAnsi="宋体" w:cs="Courier New"/>
                <w:snapToGrid w:val="0"/>
                <w:szCs w:val="21"/>
              </w:rPr>
            </w:pPr>
          </w:p>
        </w:tc>
        <w:tc>
          <w:tcPr>
            <w:tcW w:w="1230" w:type="dxa"/>
          </w:tcPr>
          <w:p>
            <w:pPr>
              <w:rPr>
                <w:rFonts w:ascii="宋体" w:hAnsi="宋体" w:cs="Courier New"/>
                <w:snapToGrid w:val="0"/>
                <w:szCs w:val="21"/>
              </w:rPr>
            </w:pPr>
          </w:p>
        </w:tc>
        <w:tc>
          <w:tcPr>
            <w:tcW w:w="1665" w:type="dxa"/>
          </w:tcPr>
          <w:p>
            <w:pPr>
              <w:rPr>
                <w:rFonts w:ascii="宋体" w:hAnsi="宋体" w:cs="Courier New"/>
                <w:snapToGrid w:val="0"/>
                <w:szCs w:val="21"/>
              </w:rPr>
            </w:pPr>
          </w:p>
        </w:tc>
        <w:tc>
          <w:tcPr>
            <w:tcW w:w="1065" w:type="dxa"/>
          </w:tcPr>
          <w:p>
            <w:pPr>
              <w:rPr>
                <w:rFonts w:ascii="宋体" w:hAnsi="宋体" w:cs="Courier New"/>
                <w:snapToGrid w:val="0"/>
                <w:szCs w:val="21"/>
              </w:rPr>
            </w:pPr>
          </w:p>
        </w:tc>
        <w:tc>
          <w:tcPr>
            <w:tcW w:w="1440" w:type="dxa"/>
          </w:tcPr>
          <w:p>
            <w:pPr>
              <w:rPr>
                <w:rFonts w:ascii="宋体" w:hAnsi="宋体" w:cs="Courier New"/>
                <w:snapToGrid w:val="0"/>
                <w:szCs w:val="21"/>
              </w:rPr>
            </w:pPr>
          </w:p>
        </w:tc>
        <w:tc>
          <w:tcPr>
            <w:tcW w:w="953"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556" w:type="dxa"/>
          </w:tcPr>
          <w:p>
            <w:pPr>
              <w:jc w:val="center"/>
              <w:rPr>
                <w:rFonts w:ascii="宋体" w:hAnsi="宋体" w:cs="Courier New"/>
                <w:snapToGrid w:val="0"/>
                <w:szCs w:val="21"/>
              </w:rPr>
            </w:pPr>
            <w:r>
              <w:rPr>
                <w:rFonts w:hint="eastAsia" w:ascii="宋体" w:hAnsi="宋体" w:cs="Courier New"/>
                <w:snapToGrid w:val="0"/>
                <w:szCs w:val="21"/>
              </w:rPr>
              <w:t>7</w:t>
            </w:r>
          </w:p>
        </w:tc>
        <w:tc>
          <w:tcPr>
            <w:tcW w:w="1425" w:type="dxa"/>
            <w:vMerge w:val="continue"/>
          </w:tcPr>
          <w:p>
            <w:pPr>
              <w:jc w:val="center"/>
              <w:rPr>
                <w:rFonts w:ascii="宋体" w:hAnsi="宋体" w:cs="Courier New"/>
                <w:snapToGrid w:val="0"/>
                <w:szCs w:val="21"/>
              </w:rPr>
            </w:pPr>
          </w:p>
        </w:tc>
        <w:tc>
          <w:tcPr>
            <w:tcW w:w="720" w:type="dxa"/>
          </w:tcPr>
          <w:p>
            <w:pPr>
              <w:rPr>
                <w:rFonts w:ascii="宋体" w:hAnsi="宋体" w:cs="Courier New"/>
                <w:snapToGrid w:val="0"/>
                <w:szCs w:val="21"/>
              </w:rPr>
            </w:pPr>
          </w:p>
        </w:tc>
        <w:tc>
          <w:tcPr>
            <w:tcW w:w="660" w:type="dxa"/>
          </w:tcPr>
          <w:p>
            <w:pPr>
              <w:rPr>
                <w:rFonts w:ascii="宋体" w:hAnsi="宋体" w:cs="Courier New"/>
                <w:snapToGrid w:val="0"/>
                <w:szCs w:val="21"/>
              </w:rPr>
            </w:pPr>
          </w:p>
        </w:tc>
        <w:tc>
          <w:tcPr>
            <w:tcW w:w="1230" w:type="dxa"/>
          </w:tcPr>
          <w:p>
            <w:pPr>
              <w:rPr>
                <w:rFonts w:ascii="宋体" w:hAnsi="宋体" w:cs="Courier New"/>
                <w:snapToGrid w:val="0"/>
                <w:szCs w:val="21"/>
              </w:rPr>
            </w:pPr>
          </w:p>
        </w:tc>
        <w:tc>
          <w:tcPr>
            <w:tcW w:w="1665" w:type="dxa"/>
          </w:tcPr>
          <w:p>
            <w:pPr>
              <w:rPr>
                <w:rFonts w:ascii="宋体" w:hAnsi="宋体" w:cs="Courier New"/>
                <w:snapToGrid w:val="0"/>
                <w:szCs w:val="21"/>
              </w:rPr>
            </w:pPr>
          </w:p>
        </w:tc>
        <w:tc>
          <w:tcPr>
            <w:tcW w:w="1065" w:type="dxa"/>
          </w:tcPr>
          <w:p>
            <w:pPr>
              <w:rPr>
                <w:rFonts w:ascii="宋体" w:hAnsi="宋体" w:cs="Courier New"/>
                <w:snapToGrid w:val="0"/>
                <w:szCs w:val="21"/>
              </w:rPr>
            </w:pPr>
          </w:p>
        </w:tc>
        <w:tc>
          <w:tcPr>
            <w:tcW w:w="1440" w:type="dxa"/>
          </w:tcPr>
          <w:p>
            <w:pPr>
              <w:rPr>
                <w:rFonts w:ascii="宋体" w:hAnsi="宋体" w:cs="Courier New"/>
                <w:snapToGrid w:val="0"/>
                <w:szCs w:val="21"/>
              </w:rPr>
            </w:pPr>
          </w:p>
        </w:tc>
        <w:tc>
          <w:tcPr>
            <w:tcW w:w="953"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556" w:type="dxa"/>
          </w:tcPr>
          <w:p>
            <w:pPr>
              <w:jc w:val="center"/>
              <w:rPr>
                <w:rFonts w:ascii="宋体" w:hAnsi="宋体" w:cs="Courier New"/>
                <w:snapToGrid w:val="0"/>
                <w:szCs w:val="21"/>
              </w:rPr>
            </w:pPr>
            <w:r>
              <w:rPr>
                <w:rFonts w:hint="eastAsia" w:ascii="宋体" w:hAnsi="宋体" w:cs="Courier New"/>
                <w:snapToGrid w:val="0"/>
                <w:szCs w:val="21"/>
              </w:rPr>
              <w:t>8</w:t>
            </w:r>
          </w:p>
        </w:tc>
        <w:tc>
          <w:tcPr>
            <w:tcW w:w="1425" w:type="dxa"/>
            <w:vMerge w:val="continue"/>
          </w:tcPr>
          <w:p>
            <w:pPr>
              <w:jc w:val="center"/>
              <w:rPr>
                <w:rFonts w:ascii="宋体" w:hAnsi="宋体" w:cs="Courier New"/>
                <w:snapToGrid w:val="0"/>
                <w:szCs w:val="21"/>
              </w:rPr>
            </w:pPr>
          </w:p>
        </w:tc>
        <w:tc>
          <w:tcPr>
            <w:tcW w:w="720" w:type="dxa"/>
          </w:tcPr>
          <w:p>
            <w:pPr>
              <w:rPr>
                <w:rFonts w:ascii="宋体" w:hAnsi="宋体" w:cs="Courier New"/>
                <w:snapToGrid w:val="0"/>
                <w:szCs w:val="21"/>
              </w:rPr>
            </w:pPr>
          </w:p>
        </w:tc>
        <w:tc>
          <w:tcPr>
            <w:tcW w:w="660" w:type="dxa"/>
          </w:tcPr>
          <w:p>
            <w:pPr>
              <w:rPr>
                <w:rFonts w:ascii="宋体" w:hAnsi="宋体" w:cs="Courier New"/>
                <w:snapToGrid w:val="0"/>
                <w:szCs w:val="21"/>
              </w:rPr>
            </w:pPr>
          </w:p>
        </w:tc>
        <w:tc>
          <w:tcPr>
            <w:tcW w:w="1230" w:type="dxa"/>
          </w:tcPr>
          <w:p>
            <w:pPr>
              <w:rPr>
                <w:rFonts w:ascii="宋体" w:hAnsi="宋体" w:cs="Courier New"/>
                <w:snapToGrid w:val="0"/>
                <w:szCs w:val="21"/>
              </w:rPr>
            </w:pPr>
          </w:p>
        </w:tc>
        <w:tc>
          <w:tcPr>
            <w:tcW w:w="1665" w:type="dxa"/>
          </w:tcPr>
          <w:p>
            <w:pPr>
              <w:rPr>
                <w:rFonts w:ascii="宋体" w:hAnsi="宋体" w:cs="Courier New"/>
                <w:snapToGrid w:val="0"/>
                <w:szCs w:val="21"/>
              </w:rPr>
            </w:pPr>
          </w:p>
        </w:tc>
        <w:tc>
          <w:tcPr>
            <w:tcW w:w="1065" w:type="dxa"/>
          </w:tcPr>
          <w:p>
            <w:pPr>
              <w:rPr>
                <w:rFonts w:ascii="宋体" w:hAnsi="宋体" w:cs="Courier New"/>
                <w:snapToGrid w:val="0"/>
                <w:szCs w:val="21"/>
              </w:rPr>
            </w:pPr>
          </w:p>
        </w:tc>
        <w:tc>
          <w:tcPr>
            <w:tcW w:w="1440" w:type="dxa"/>
          </w:tcPr>
          <w:p>
            <w:pPr>
              <w:rPr>
                <w:rFonts w:ascii="宋体" w:hAnsi="宋体" w:cs="Courier New"/>
                <w:snapToGrid w:val="0"/>
                <w:szCs w:val="21"/>
              </w:rPr>
            </w:pPr>
          </w:p>
        </w:tc>
        <w:tc>
          <w:tcPr>
            <w:tcW w:w="953"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556" w:type="dxa"/>
          </w:tcPr>
          <w:p>
            <w:pPr>
              <w:jc w:val="center"/>
              <w:rPr>
                <w:rFonts w:ascii="宋体" w:hAnsi="宋体" w:cs="Courier New"/>
                <w:snapToGrid w:val="0"/>
                <w:szCs w:val="21"/>
              </w:rPr>
            </w:pPr>
            <w:r>
              <w:rPr>
                <w:rFonts w:hint="eastAsia" w:ascii="宋体" w:hAnsi="宋体" w:cs="Courier New"/>
                <w:snapToGrid w:val="0"/>
                <w:szCs w:val="21"/>
              </w:rPr>
              <w:t>9</w:t>
            </w:r>
          </w:p>
        </w:tc>
        <w:tc>
          <w:tcPr>
            <w:tcW w:w="1425" w:type="dxa"/>
            <w:vMerge w:val="continue"/>
          </w:tcPr>
          <w:p>
            <w:pPr>
              <w:jc w:val="center"/>
              <w:rPr>
                <w:rFonts w:ascii="宋体" w:hAnsi="宋体" w:cs="Courier New"/>
                <w:snapToGrid w:val="0"/>
                <w:szCs w:val="21"/>
              </w:rPr>
            </w:pPr>
          </w:p>
        </w:tc>
        <w:tc>
          <w:tcPr>
            <w:tcW w:w="720" w:type="dxa"/>
          </w:tcPr>
          <w:p>
            <w:pPr>
              <w:rPr>
                <w:rFonts w:ascii="宋体" w:hAnsi="宋体" w:cs="Courier New"/>
                <w:snapToGrid w:val="0"/>
                <w:szCs w:val="21"/>
              </w:rPr>
            </w:pPr>
          </w:p>
        </w:tc>
        <w:tc>
          <w:tcPr>
            <w:tcW w:w="660" w:type="dxa"/>
          </w:tcPr>
          <w:p>
            <w:pPr>
              <w:rPr>
                <w:rFonts w:ascii="宋体" w:hAnsi="宋体" w:cs="Courier New"/>
                <w:snapToGrid w:val="0"/>
                <w:szCs w:val="21"/>
              </w:rPr>
            </w:pPr>
          </w:p>
        </w:tc>
        <w:tc>
          <w:tcPr>
            <w:tcW w:w="1230" w:type="dxa"/>
          </w:tcPr>
          <w:p>
            <w:pPr>
              <w:rPr>
                <w:rFonts w:ascii="宋体" w:hAnsi="宋体" w:cs="Courier New"/>
                <w:snapToGrid w:val="0"/>
                <w:szCs w:val="21"/>
              </w:rPr>
            </w:pPr>
          </w:p>
        </w:tc>
        <w:tc>
          <w:tcPr>
            <w:tcW w:w="1665" w:type="dxa"/>
          </w:tcPr>
          <w:p>
            <w:pPr>
              <w:rPr>
                <w:rFonts w:ascii="宋体" w:hAnsi="宋体" w:cs="Courier New"/>
                <w:snapToGrid w:val="0"/>
                <w:szCs w:val="21"/>
              </w:rPr>
            </w:pPr>
          </w:p>
        </w:tc>
        <w:tc>
          <w:tcPr>
            <w:tcW w:w="1065" w:type="dxa"/>
          </w:tcPr>
          <w:p>
            <w:pPr>
              <w:rPr>
                <w:rFonts w:ascii="宋体" w:hAnsi="宋体" w:cs="Courier New"/>
                <w:snapToGrid w:val="0"/>
                <w:szCs w:val="21"/>
              </w:rPr>
            </w:pPr>
          </w:p>
        </w:tc>
        <w:tc>
          <w:tcPr>
            <w:tcW w:w="1440" w:type="dxa"/>
          </w:tcPr>
          <w:p>
            <w:pPr>
              <w:rPr>
                <w:rFonts w:ascii="宋体" w:hAnsi="宋体" w:cs="Courier New"/>
                <w:snapToGrid w:val="0"/>
                <w:szCs w:val="21"/>
              </w:rPr>
            </w:pPr>
          </w:p>
        </w:tc>
        <w:tc>
          <w:tcPr>
            <w:tcW w:w="953"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8"/>
        <w:adjustRightInd w:val="0"/>
        <w:snapToGrid w:val="0"/>
        <w:spacing w:line="312" w:lineRule="auto"/>
        <w:jc w:val="center"/>
        <w:rPr>
          <w:rFonts w:ascii="Times New Roman" w:hAnsi="Times New Roman"/>
          <w:b/>
          <w:sz w:val="28"/>
        </w:rPr>
      </w:pPr>
    </w:p>
    <w:p/>
    <w:p/>
    <w:p/>
    <w:p/>
    <w:p>
      <w:pPr>
        <w:pStyle w:val="4"/>
        <w:tabs>
          <w:tab w:val="left" w:pos="371"/>
        </w:tabs>
        <w:spacing w:before="120" w:after="120"/>
        <w:ind w:left="-1" w:leftChars="-1" w:hanging="1"/>
        <w:jc w:val="center"/>
        <w:rPr>
          <w:rFonts w:asciiTheme="minorEastAsia" w:hAnsiTheme="minorEastAsia" w:eastAsiaTheme="minorEastAsia"/>
        </w:rPr>
      </w:pPr>
      <w:bookmarkStart w:id="76" w:name="_Toc135293189"/>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76"/>
    </w:p>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rPr>
          <w:rFonts w:ascii="宋体" w:hAnsi="宋体"/>
          <w:sz w:val="28"/>
        </w:rPr>
      </w:pPr>
    </w:p>
    <w:p/>
    <w:p/>
    <w:p/>
    <w:p/>
    <w:p/>
    <w:p/>
    <w:p/>
    <w:p/>
    <w:p/>
    <w:p/>
    <w:p/>
    <w:p/>
    <w:p/>
    <w:p/>
    <w:p/>
    <w:p/>
    <w:p/>
    <w:p/>
    <w:p/>
    <w:p/>
    <w:p/>
    <w:p/>
    <w:p/>
    <w:p/>
    <w:p/>
    <w:p/>
    <w:p/>
    <w:p/>
    <w:p/>
    <w:p/>
    <w:p/>
    <w:p/>
    <w:p/>
    <w:p/>
    <w:p>
      <w:pPr>
        <w:pStyle w:val="4"/>
        <w:tabs>
          <w:tab w:val="left" w:pos="371"/>
        </w:tabs>
        <w:spacing w:before="120" w:after="120"/>
        <w:ind w:left="-1" w:leftChars="-1" w:hanging="1"/>
        <w:jc w:val="center"/>
        <w:rPr>
          <w:rFonts w:asciiTheme="minorEastAsia" w:hAnsiTheme="minorEastAsia" w:eastAsiaTheme="minorEastAsia"/>
        </w:rPr>
      </w:pPr>
      <w:bookmarkStart w:id="77" w:name="_Toc44691400"/>
      <w:bookmarkStart w:id="78" w:name="_Toc44690709"/>
      <w:bookmarkStart w:id="79" w:name="_Toc44691168"/>
      <w:bookmarkStart w:id="80" w:name="_Toc44690436"/>
      <w:bookmarkStart w:id="81" w:name="_Toc135293190"/>
      <w:r>
        <w:rPr>
          <w:rFonts w:hint="eastAsia" w:asciiTheme="minorEastAsia" w:hAnsiTheme="minorEastAsia" w:eastAsiaTheme="minorEastAsia"/>
        </w:rPr>
        <w:t>格式9  偏离表</w:t>
      </w:r>
      <w:bookmarkEnd w:id="77"/>
      <w:bookmarkEnd w:id="78"/>
      <w:bookmarkEnd w:id="79"/>
      <w:bookmarkEnd w:id="80"/>
      <w:bookmarkEnd w:id="81"/>
    </w:p>
    <w:p>
      <w:pPr>
        <w:adjustRightInd w:val="0"/>
        <w:snapToGrid w:val="0"/>
        <w:spacing w:line="360" w:lineRule="auto"/>
        <w:rPr>
          <w:rFonts w:ascii="宋体" w:hAnsi="宋体"/>
        </w:rPr>
      </w:pPr>
    </w:p>
    <w:p>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pPr>
              <w:rPr>
                <w:rFonts w:ascii="宋体" w:hAnsi="宋体"/>
                <w:szCs w:val="21"/>
              </w:rPr>
            </w:pPr>
            <w:r>
              <w:rPr>
                <w:rFonts w:hint="eastAsia" w:ascii="宋体" w:hAnsi="宋体"/>
                <w:szCs w:val="21"/>
              </w:rPr>
              <w:t>序号</w:t>
            </w:r>
          </w:p>
        </w:tc>
        <w:tc>
          <w:tcPr>
            <w:tcW w:w="2010" w:type="dxa"/>
            <w:vAlign w:val="center"/>
          </w:tcPr>
          <w:p>
            <w:pPr>
              <w:ind w:left="136" w:leftChars="65"/>
              <w:jc w:val="center"/>
              <w:rPr>
                <w:rFonts w:ascii="宋体" w:hAnsi="宋体"/>
                <w:szCs w:val="21"/>
              </w:rPr>
            </w:pPr>
            <w:r>
              <w:rPr>
                <w:rFonts w:hint="eastAsia" w:ascii="宋体" w:hAnsi="宋体"/>
                <w:szCs w:val="21"/>
              </w:rPr>
              <w:t>招标项目需求</w:t>
            </w:r>
          </w:p>
        </w:tc>
        <w:tc>
          <w:tcPr>
            <w:tcW w:w="3544" w:type="dxa"/>
            <w:vAlign w:val="center"/>
          </w:tcPr>
          <w:p>
            <w:pPr>
              <w:ind w:left="136" w:leftChars="65"/>
              <w:jc w:val="center"/>
              <w:rPr>
                <w:rFonts w:ascii="宋体" w:hAnsi="宋体"/>
                <w:szCs w:val="21"/>
              </w:rPr>
            </w:pPr>
            <w:r>
              <w:rPr>
                <w:rFonts w:hint="eastAsia" w:ascii="宋体" w:hAnsi="宋体"/>
                <w:szCs w:val="21"/>
              </w:rPr>
              <w:t>投标文件响应</w:t>
            </w:r>
          </w:p>
        </w:tc>
        <w:tc>
          <w:tcPr>
            <w:tcW w:w="1984" w:type="dxa"/>
            <w:vAlign w:val="center"/>
          </w:tcPr>
          <w:p>
            <w:pPr>
              <w:ind w:left="136" w:leftChars="65"/>
              <w:jc w:val="center"/>
              <w:rPr>
                <w:rFonts w:ascii="宋体" w:hAnsi="宋体"/>
                <w:szCs w:val="21"/>
              </w:rPr>
            </w:pPr>
            <w:r>
              <w:rPr>
                <w:rFonts w:hint="eastAsia" w:ascii="宋体" w:hAnsi="宋体"/>
                <w:szCs w:val="21"/>
              </w:rPr>
              <w:t>偏离情况</w:t>
            </w:r>
          </w:p>
        </w:tc>
        <w:tc>
          <w:tcPr>
            <w:tcW w:w="1974" w:type="dxa"/>
            <w:vAlign w:val="center"/>
          </w:tcPr>
          <w:p>
            <w:pPr>
              <w:ind w:left="136" w:leftChars="65"/>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pPr>
              <w:ind w:left="136" w:leftChars="65"/>
              <w:jc w:val="center"/>
              <w:rPr>
                <w:rFonts w:ascii="宋体" w:hAnsi="宋体"/>
                <w:szCs w:val="21"/>
              </w:rPr>
            </w:pPr>
            <w:r>
              <w:rPr>
                <w:rFonts w:hint="eastAsia" w:ascii="宋体" w:hAnsi="宋体"/>
                <w:szCs w:val="21"/>
              </w:rPr>
              <w:t>1</w:t>
            </w:r>
          </w:p>
        </w:tc>
        <w:tc>
          <w:tcPr>
            <w:tcW w:w="2010" w:type="dxa"/>
            <w:vAlign w:val="center"/>
          </w:tcPr>
          <w:p>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pPr>
              <w:ind w:left="136" w:leftChars="65"/>
              <w:jc w:val="center"/>
              <w:rPr>
                <w:rFonts w:ascii="宋体" w:hAnsi="宋体"/>
                <w:szCs w:val="21"/>
              </w:rPr>
            </w:pPr>
          </w:p>
        </w:tc>
        <w:tc>
          <w:tcPr>
            <w:tcW w:w="1974" w:type="dxa"/>
            <w:vAlign w:val="center"/>
          </w:tcPr>
          <w:p>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pPr>
              <w:jc w:val="center"/>
              <w:rPr>
                <w:rFonts w:ascii="宋体" w:hAnsi="宋体"/>
                <w:szCs w:val="21"/>
              </w:rPr>
            </w:pPr>
            <w:r>
              <w:rPr>
                <w:rFonts w:hint="eastAsia" w:ascii="宋体" w:hAnsi="宋体"/>
              </w:rPr>
              <w:t>1</w:t>
            </w:r>
          </w:p>
        </w:tc>
        <w:tc>
          <w:tcPr>
            <w:tcW w:w="2010" w:type="dxa"/>
            <w:vAlign w:val="center"/>
          </w:tcPr>
          <w:p>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pPr>
              <w:ind w:left="136" w:leftChars="65"/>
              <w:jc w:val="center"/>
              <w:rPr>
                <w:rFonts w:ascii="宋体" w:hAnsi="宋体"/>
                <w:szCs w:val="21"/>
              </w:rPr>
            </w:pPr>
          </w:p>
        </w:tc>
        <w:tc>
          <w:tcPr>
            <w:tcW w:w="1974" w:type="dxa"/>
            <w:vAlign w:val="center"/>
          </w:tcPr>
          <w:p>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pPr>
        <w:spacing w:line="360" w:lineRule="auto"/>
        <w:ind w:firstLine="422" w:firstLineChars="201"/>
      </w:pPr>
      <w:r>
        <w:rPr>
          <w:rFonts w:hint="eastAsia"/>
        </w:rPr>
        <w:t>备注：</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pPr>
        <w:adjustRightInd w:val="0"/>
        <w:snapToGrid w:val="0"/>
        <w:spacing w:line="300" w:lineRule="auto"/>
        <w:rPr>
          <w:rFonts w:eastAsia="楷体_GB2312"/>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left"/>
        <w:rPr>
          <w:snapToGrid w:val="0"/>
          <w:kern w:val="0"/>
        </w:rPr>
      </w:pPr>
    </w:p>
    <w:p>
      <w:pPr>
        <w:pStyle w:val="4"/>
        <w:tabs>
          <w:tab w:val="left" w:pos="371"/>
        </w:tabs>
        <w:spacing w:before="120" w:after="120"/>
        <w:ind w:left="-1" w:leftChars="-1" w:hanging="1"/>
        <w:jc w:val="center"/>
        <w:rPr>
          <w:rFonts w:asciiTheme="minorEastAsia" w:hAnsiTheme="minorEastAsia" w:eastAsiaTheme="minorEastAsia"/>
        </w:rPr>
      </w:pPr>
      <w:bookmarkStart w:id="82" w:name="q15"/>
      <w:bookmarkEnd w:id="82"/>
      <w:bookmarkStart w:id="83" w:name="_格式3__"/>
      <w:bookmarkEnd w:id="83"/>
      <w:bookmarkStart w:id="84" w:name="q16"/>
      <w:bookmarkEnd w:id="84"/>
      <w:bookmarkStart w:id="85" w:name="q17"/>
      <w:bookmarkEnd w:id="85"/>
      <w:bookmarkStart w:id="86" w:name="_格式2__投标保证金凭证"/>
      <w:bookmarkEnd w:id="86"/>
      <w:bookmarkStart w:id="87" w:name="_格式5__"/>
      <w:bookmarkEnd w:id="87"/>
      <w:bookmarkStart w:id="88" w:name="_格式4__"/>
      <w:bookmarkEnd w:id="88"/>
      <w:r>
        <w:rPr>
          <w:rFonts w:asciiTheme="minorEastAsia" w:hAnsiTheme="minorEastAsia" w:eastAsiaTheme="minorEastAsia"/>
        </w:rPr>
        <w:tab/>
      </w:r>
      <w:bookmarkStart w:id="89" w:name="_Toc44691169"/>
      <w:bookmarkStart w:id="90" w:name="_Toc44690437"/>
      <w:bookmarkStart w:id="91" w:name="_Toc44690710"/>
      <w:bookmarkStart w:id="92" w:name="_Toc44691401"/>
      <w:bookmarkStart w:id="93" w:name="_Toc135293191"/>
      <w:r>
        <w:rPr>
          <w:rFonts w:hint="eastAsia" w:asciiTheme="minorEastAsia" w:hAnsiTheme="minorEastAsia" w:eastAsiaTheme="minorEastAsia"/>
        </w:rPr>
        <w:t xml:space="preserve">格式10  </w:t>
      </w:r>
      <w:bookmarkEnd w:id="89"/>
      <w:bookmarkEnd w:id="90"/>
      <w:bookmarkEnd w:id="91"/>
      <w:bookmarkEnd w:id="92"/>
      <w:r>
        <w:rPr>
          <w:rFonts w:hint="eastAsia" w:asciiTheme="minorEastAsia" w:hAnsiTheme="minorEastAsia" w:eastAsiaTheme="minorEastAsia"/>
        </w:rPr>
        <w:t>招标文件要求的其他资料或投标人认为需要补充的资料</w:t>
      </w:r>
      <w:bookmarkEnd w:id="93"/>
    </w:p>
    <w:p>
      <w:pPr>
        <w:spacing w:line="360" w:lineRule="auto"/>
        <w:jc w:val="center"/>
      </w:pPr>
    </w:p>
    <w:p>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第七十五条规定：供应商有下列情形的，属于采购条例所称的串通投标行为。</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line="360" w:lineRule="auto"/>
        <w:jc w:val="left"/>
        <w:rPr>
          <w:rFonts w:asciiTheme="minorEastAsia" w:hAnsiTheme="minorEastAsia" w:eastAsiaTheme="minorEastAsia"/>
          <w:color w:val="FF0000"/>
          <w:kern w:val="0"/>
          <w:szCs w:val="21"/>
        </w:rPr>
      </w:pPr>
    </w:p>
    <w:p>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或税务部门原因暂时无法提供社保证明的，需提供加盖公章的情况说明或者证明材料。）</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pPr>
        <w:jc w:val="left"/>
        <w:rPr>
          <w:snapToGrid w:val="0"/>
          <w:kern w:val="0"/>
          <w:sz w:val="52"/>
          <w:szCs w:val="52"/>
        </w:rPr>
      </w:pPr>
    </w:p>
    <w:p/>
    <w:p/>
    <w:p/>
    <w:p/>
    <w:p/>
    <w:p/>
    <w:p/>
    <w:p/>
    <w:p/>
    <w:p/>
    <w:p/>
    <w:p/>
    <w:p/>
    <w:p>
      <w:pPr>
        <w:tabs>
          <w:tab w:val="left" w:pos="1875"/>
        </w:tabs>
      </w:pPr>
    </w:p>
    <w:p>
      <w:pPr>
        <w:widowControl/>
        <w:jc w:val="left"/>
        <w:rPr>
          <w:rFonts w:eastAsiaTheme="minorEastAsia"/>
          <w:b/>
          <w:kern w:val="44"/>
          <w:sz w:val="44"/>
          <w:szCs w:val="28"/>
        </w:rPr>
      </w:pPr>
    </w:p>
    <w:p/>
    <w:p>
      <w:pPr>
        <w:pStyle w:val="3"/>
      </w:pPr>
      <w:bookmarkStart w:id="94" w:name="_Toc135293192"/>
      <w:r>
        <w:rPr>
          <w:rFonts w:hint="eastAsia"/>
        </w:rPr>
        <w:t>第八章  合同条款</w:t>
      </w:r>
      <w:bookmarkEnd w:id="94"/>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pStyle w:val="26"/>
        <w:spacing w:line="360" w:lineRule="auto"/>
        <w:ind w:firstLine="482" w:firstLineChars="200"/>
        <w:rPr>
          <w:rFonts w:ascii="Times New Roman" w:hAnsi="Times New Roman"/>
          <w:b/>
          <w:sz w:val="24"/>
        </w:rPr>
      </w:pP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pPr>
        <w:adjustRightInd w:val="0"/>
        <w:snapToGrid w:val="0"/>
        <w:spacing w:line="360" w:lineRule="auto"/>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pStyle w:val="26"/>
        <w:snapToGrid w:val="0"/>
        <w:spacing w:line="360" w:lineRule="auto"/>
        <w:ind w:firstLine="422" w:firstLineChars="200"/>
        <w:rPr>
          <w:rFonts w:hAnsi="宋体"/>
          <w:b/>
          <w:szCs w:val="21"/>
        </w:rPr>
      </w:pPr>
      <w:r>
        <w:rPr>
          <w:rFonts w:hint="eastAsia" w:hAnsi="宋体"/>
          <w:b/>
          <w:szCs w:val="21"/>
        </w:rPr>
        <w:t>一、服务内容</w:t>
      </w:r>
    </w:p>
    <w:p>
      <w:pPr>
        <w:spacing w:line="360" w:lineRule="auto"/>
        <w:ind w:firstLine="422" w:firstLineChars="201"/>
        <w:rPr>
          <w:rFonts w:ascii="宋体" w:hAnsi="宋体"/>
          <w:szCs w:val="21"/>
        </w:rPr>
      </w:pPr>
      <w:r>
        <w:rPr>
          <w:rFonts w:hint="eastAsia" w:ascii="宋体" w:hAnsi="宋体"/>
          <w:szCs w:val="21"/>
        </w:rPr>
        <w:t>______________________</w:t>
      </w:r>
    </w:p>
    <w:p>
      <w:pPr>
        <w:pStyle w:val="26"/>
        <w:snapToGrid w:val="0"/>
        <w:spacing w:line="360" w:lineRule="auto"/>
        <w:ind w:firstLine="422" w:firstLineChars="200"/>
        <w:rPr>
          <w:rFonts w:hAnsi="宋体"/>
          <w:b/>
          <w:szCs w:val="21"/>
        </w:rPr>
      </w:pPr>
      <w:r>
        <w:rPr>
          <w:rFonts w:hint="eastAsia" w:hAnsi="宋体"/>
          <w:b/>
          <w:szCs w:val="21"/>
        </w:rPr>
        <w:t>二、合同金额</w:t>
      </w:r>
    </w:p>
    <w:p>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pPr>
        <w:pStyle w:val="26"/>
        <w:snapToGrid w:val="0"/>
        <w:spacing w:line="360" w:lineRule="auto"/>
        <w:ind w:firstLine="422" w:firstLineChars="200"/>
        <w:rPr>
          <w:rFonts w:hAnsi="宋体"/>
          <w:b/>
          <w:szCs w:val="21"/>
        </w:rPr>
      </w:pPr>
      <w:r>
        <w:rPr>
          <w:rFonts w:hint="eastAsia" w:hAnsi="宋体"/>
          <w:b/>
          <w:szCs w:val="21"/>
        </w:rPr>
        <w:t>三、技术资料</w:t>
      </w:r>
    </w:p>
    <w:p>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pPr>
        <w:pStyle w:val="26"/>
        <w:snapToGrid w:val="0"/>
        <w:spacing w:line="360" w:lineRule="auto"/>
        <w:ind w:firstLine="422" w:firstLineChars="200"/>
        <w:rPr>
          <w:rFonts w:hAnsi="宋体"/>
          <w:b/>
          <w:szCs w:val="21"/>
        </w:rPr>
      </w:pPr>
      <w:r>
        <w:rPr>
          <w:rFonts w:hint="eastAsia" w:hAnsi="宋体"/>
          <w:b/>
          <w:szCs w:val="21"/>
        </w:rPr>
        <w:t>四、知识产权</w:t>
      </w:r>
    </w:p>
    <w:p>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pPr>
        <w:pStyle w:val="26"/>
        <w:snapToGrid w:val="0"/>
        <w:spacing w:line="360" w:lineRule="auto"/>
        <w:ind w:firstLine="422" w:firstLineChars="200"/>
        <w:rPr>
          <w:rFonts w:hAnsi="宋体"/>
          <w:b/>
          <w:szCs w:val="21"/>
        </w:rPr>
      </w:pPr>
      <w:r>
        <w:rPr>
          <w:rFonts w:hint="eastAsia" w:hAnsi="宋体"/>
          <w:b/>
          <w:szCs w:val="21"/>
        </w:rPr>
        <w:t>五、履约保证金</w:t>
      </w:r>
    </w:p>
    <w:p>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pPr>
        <w:snapToGrid w:val="0"/>
        <w:spacing w:line="360" w:lineRule="auto"/>
        <w:ind w:firstLine="422" w:firstLineChars="200"/>
        <w:rPr>
          <w:rFonts w:ascii="宋体" w:hAnsi="宋体"/>
          <w:b/>
          <w:szCs w:val="21"/>
        </w:rPr>
      </w:pPr>
      <w:r>
        <w:rPr>
          <w:rFonts w:hint="eastAsia" w:ascii="宋体" w:hAnsi="宋体"/>
          <w:b/>
          <w:szCs w:val="21"/>
        </w:rPr>
        <w:t>九、验收</w:t>
      </w:r>
    </w:p>
    <w:p>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pPr>
        <w:pStyle w:val="26"/>
        <w:snapToGrid w:val="0"/>
        <w:spacing w:line="360" w:lineRule="auto"/>
        <w:ind w:firstLine="422" w:firstLineChars="200"/>
        <w:rPr>
          <w:rFonts w:hAnsi="宋体"/>
          <w:b/>
          <w:szCs w:val="21"/>
        </w:rPr>
      </w:pPr>
      <w:r>
        <w:rPr>
          <w:rFonts w:hint="eastAsia" w:hAnsi="宋体"/>
          <w:b/>
          <w:szCs w:val="21"/>
        </w:rPr>
        <w:t>十、付款方式和税费</w:t>
      </w:r>
    </w:p>
    <w:p>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pPr>
        <w:pStyle w:val="26"/>
        <w:snapToGrid w:val="0"/>
        <w:spacing w:line="360" w:lineRule="auto"/>
        <w:ind w:firstLine="422" w:firstLineChars="200"/>
        <w:rPr>
          <w:rFonts w:hAnsi="宋体"/>
          <w:b/>
          <w:szCs w:val="21"/>
        </w:rPr>
      </w:pPr>
      <w:r>
        <w:rPr>
          <w:rFonts w:hint="eastAsia" w:hAnsi="宋体"/>
          <w:b/>
          <w:szCs w:val="21"/>
        </w:rPr>
        <w:t>十二、违约责任</w:t>
      </w:r>
    </w:p>
    <w:p>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line="360" w:lineRule="auto"/>
        <w:ind w:firstLine="420" w:firstLineChars="200"/>
        <w:rPr>
          <w:rFonts w:ascii="宋体" w:hAnsi="宋体"/>
          <w:szCs w:val="21"/>
        </w:rPr>
      </w:pPr>
      <w:r>
        <w:rPr>
          <w:rFonts w:hint="eastAsia" w:ascii="宋体" w:hAnsi="宋体"/>
          <w:szCs w:val="21"/>
        </w:rPr>
        <w:t>（1）招标文件、答疑及补充通知；</w:t>
      </w:r>
    </w:p>
    <w:p>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napToGrid w:val="0"/>
        <w:spacing w:line="360" w:lineRule="auto"/>
        <w:rPr>
          <w:rFonts w:ascii="宋体" w:hAnsi="宋体"/>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3"/>
      </w:pPr>
      <w:bookmarkStart w:id="95" w:name="_Toc135293193"/>
      <w:bookmarkStart w:id="96" w:name="_Toc73610161"/>
      <w:r>
        <w:rPr>
          <w:rFonts w:hint="eastAsia"/>
        </w:rPr>
        <w:t>第九章  附件</w:t>
      </w:r>
      <w:bookmarkEnd w:id="95"/>
      <w:bookmarkEnd w:id="96"/>
    </w:p>
    <w:p>
      <w:pPr>
        <w:pStyle w:val="2"/>
        <w:spacing w:before="0" w:after="0"/>
      </w:pPr>
      <w:bookmarkStart w:id="97" w:name="_Toc73613644"/>
      <w:bookmarkStart w:id="98" w:name="_Toc135293194"/>
      <w:bookmarkStart w:id="99" w:name="_Toc73610162"/>
      <w:r>
        <w:rPr>
          <w:rFonts w:hint="eastAsia"/>
        </w:rPr>
        <w:t>一、财政部 工业和信息化部关于印发《政府采购促进中小企业发展管理办法》的通知</w:t>
      </w:r>
      <w:bookmarkEnd w:id="97"/>
      <w:bookmarkEnd w:id="98"/>
      <w:bookmarkEnd w:id="99"/>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pPr>
        <w:spacing w:line="360" w:lineRule="auto"/>
        <w:rPr>
          <w:rFonts w:asciiTheme="minorEastAsia" w:hAnsiTheme="minorEastAsia" w:eastAsiaTheme="minorEastAsia"/>
          <w:szCs w:val="21"/>
        </w:rPr>
      </w:pPr>
    </w:p>
    <w:p>
      <w:pPr>
        <w:pStyle w:val="2"/>
        <w:spacing w:before="0" w:after="0"/>
      </w:pPr>
      <w:bookmarkStart w:id="100" w:name="_Toc73613645"/>
      <w:bookmarkStart w:id="101" w:name="_Toc73610163"/>
      <w:bookmarkStart w:id="102" w:name="_Toc135293195"/>
      <w:r>
        <w:rPr>
          <w:rFonts w:hint="eastAsia"/>
        </w:rPr>
        <w:t>二、关于印发中小企业划型标准规定的通知</w:t>
      </w:r>
      <w:bookmarkEnd w:id="100"/>
      <w:bookmarkEnd w:id="101"/>
      <w:bookmarkEnd w:id="102"/>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pPr>
        <w:pStyle w:val="2"/>
        <w:spacing w:before="0" w:after="0"/>
      </w:pPr>
      <w:bookmarkStart w:id="103" w:name="_Toc135293196"/>
      <w:bookmarkStart w:id="104" w:name="_Toc73610164"/>
      <w:bookmarkStart w:id="105" w:name="_Toc73613646"/>
      <w:r>
        <w:rPr>
          <w:rFonts w:hint="eastAsia"/>
        </w:rPr>
        <w:t>三、</w:t>
      </w:r>
      <w:r>
        <w:t>国家统计局关于印发《统计上大中小微型企业划分办法 （2017）》的通知</w:t>
      </w:r>
      <w:bookmarkEnd w:id="103"/>
      <w:bookmarkEnd w:id="104"/>
      <w:bookmarkEnd w:id="105"/>
      <w:r>
        <w:t> </w:t>
      </w: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2"/>
        <w:spacing w:before="0" w:after="0"/>
      </w:pPr>
      <w:bookmarkStart w:id="106" w:name="_Toc73610165"/>
      <w:bookmarkStart w:id="107" w:name="_Toc135293197"/>
      <w:bookmarkStart w:id="108" w:name="_Toc73613647"/>
      <w:r>
        <w:rPr>
          <w:rFonts w:hint="eastAsia"/>
        </w:rPr>
        <w:t>四、</w:t>
      </w:r>
      <w:r>
        <w:t>财政部 民政部 中国残疾人联合会关于促进残疾人就业 政府采购政策的通知</w:t>
      </w:r>
      <w:bookmarkEnd w:id="106"/>
      <w:bookmarkEnd w:id="107"/>
      <w:bookmarkEnd w:id="108"/>
      <w:r>
        <w:t xml:space="preserve"> </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pPr>
        <w:tabs>
          <w:tab w:val="left" w:pos="1875"/>
        </w:tabs>
        <w:rPr>
          <w:rFonts w:ascii="Calibri" w:hAnsi="Calibri"/>
          <w:szCs w:val="22"/>
        </w:rPr>
      </w:pPr>
    </w:p>
    <w:p>
      <w:pPr>
        <w:rPr>
          <w:rFonts w:ascii="Calibri" w:hAnsi="Calibri"/>
          <w:szCs w:val="22"/>
        </w:rPr>
      </w:pPr>
    </w:p>
    <w:p>
      <w:pPr>
        <w:pStyle w:val="2"/>
        <w:spacing w:before="0" w:after="0"/>
      </w:pPr>
      <w:bookmarkStart w:id="109" w:name="_Toc135293198"/>
      <w:r>
        <w:rPr>
          <w:rFonts w:hint="eastAsia"/>
        </w:rPr>
        <w:t>五、财政部 司法部关于政府采购支持监狱企业发展有关问题的通知</w:t>
      </w:r>
      <w:bookmarkEnd w:id="109"/>
      <w:r>
        <w:t xml:space="preserve"> </w:t>
      </w:r>
    </w:p>
    <w:p>
      <w:pPr>
        <w:widowControl/>
        <w:spacing w:line="360" w:lineRule="auto"/>
        <w:jc w:val="center"/>
        <w:rPr>
          <w:rFonts w:cs="宋体" w:asciiTheme="minorEastAsia" w:hAnsiTheme="minorEastAsia" w:eastAsiaTheme="minorEastAsia"/>
          <w:kern w:val="0"/>
          <w:szCs w:val="21"/>
        </w:rPr>
      </w:pP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spacing w:line="360" w:lineRule="auto"/>
        <w:jc w:val="lef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15</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pPr>
    <w:r>
      <w:rPr>
        <w:rFonts w:hint="eastAsia"/>
      </w:rPr>
      <w:t>项目名称：</w:t>
    </w:r>
    <w:r>
      <w:rPr>
        <w:rFonts w:hint="eastAsia" w:asciiTheme="minorEastAsia" w:hAnsiTheme="minorEastAsia" w:eastAsiaTheme="minorEastAsia"/>
      </w:rPr>
      <w:t xml:space="preserve">知识产权保护类专项资金申报受理评审验收组织工作辅助服务       </w:t>
    </w:r>
    <w:r>
      <w:rPr>
        <w:rFonts w:hint="eastAsia"/>
      </w:rPr>
      <w:t xml:space="preserve">           项目编号：</w:t>
    </w:r>
    <w:r>
      <w:rPr>
        <w:rFonts w:hint="eastAsia" w:asciiTheme="minorEastAsia" w:hAnsiTheme="minorEastAsia" w:eastAsiaTheme="minorEastAsia"/>
      </w:rPr>
      <w:t>SZZZ2024-QC0121</w:t>
    </w:r>
    <w:r>
      <w:tab/>
    </w:r>
  </w:p>
  <w:p>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 w:name="KSO_WPS_MARK_KEY" w:val="79bf3387-fe5b-4970-822c-50cd05f3103b"/>
  </w:docVars>
  <w:rsids>
    <w:rsidRoot w:val="00172A27"/>
    <w:rsid w:val="0000134D"/>
    <w:rsid w:val="00001626"/>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DA4"/>
    <w:rsid w:val="00042758"/>
    <w:rsid w:val="00043D2B"/>
    <w:rsid w:val="000440D8"/>
    <w:rsid w:val="000442CB"/>
    <w:rsid w:val="000447F6"/>
    <w:rsid w:val="000456B0"/>
    <w:rsid w:val="00045923"/>
    <w:rsid w:val="00045EB5"/>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442"/>
    <w:rsid w:val="00150618"/>
    <w:rsid w:val="00150E64"/>
    <w:rsid w:val="00151766"/>
    <w:rsid w:val="0015247A"/>
    <w:rsid w:val="0015249C"/>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68EC"/>
    <w:rsid w:val="001A6C49"/>
    <w:rsid w:val="001A7AB7"/>
    <w:rsid w:val="001A7C91"/>
    <w:rsid w:val="001B0220"/>
    <w:rsid w:val="001B0850"/>
    <w:rsid w:val="001B1281"/>
    <w:rsid w:val="001B1D39"/>
    <w:rsid w:val="001B2126"/>
    <w:rsid w:val="001B2329"/>
    <w:rsid w:val="001B23F5"/>
    <w:rsid w:val="001B24E4"/>
    <w:rsid w:val="001B2666"/>
    <w:rsid w:val="001B271B"/>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90002"/>
    <w:rsid w:val="0029069C"/>
    <w:rsid w:val="00291560"/>
    <w:rsid w:val="00291AF5"/>
    <w:rsid w:val="0029244F"/>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52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68A"/>
    <w:rsid w:val="002F11D5"/>
    <w:rsid w:val="002F1A62"/>
    <w:rsid w:val="002F21EF"/>
    <w:rsid w:val="002F2741"/>
    <w:rsid w:val="002F2B63"/>
    <w:rsid w:val="002F3765"/>
    <w:rsid w:val="002F3F28"/>
    <w:rsid w:val="002F44A0"/>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3373"/>
    <w:rsid w:val="003242E5"/>
    <w:rsid w:val="00324DD8"/>
    <w:rsid w:val="00324EC6"/>
    <w:rsid w:val="003256E0"/>
    <w:rsid w:val="00325E6C"/>
    <w:rsid w:val="003261AE"/>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FC0"/>
    <w:rsid w:val="00422A18"/>
    <w:rsid w:val="00422B01"/>
    <w:rsid w:val="00423668"/>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123F"/>
    <w:rsid w:val="004619CC"/>
    <w:rsid w:val="00461E36"/>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3A4E"/>
    <w:rsid w:val="004A4429"/>
    <w:rsid w:val="004A44FB"/>
    <w:rsid w:val="004A4862"/>
    <w:rsid w:val="004A4E10"/>
    <w:rsid w:val="004A51B0"/>
    <w:rsid w:val="004A5352"/>
    <w:rsid w:val="004A565E"/>
    <w:rsid w:val="004A59A4"/>
    <w:rsid w:val="004A6727"/>
    <w:rsid w:val="004A6981"/>
    <w:rsid w:val="004A6E06"/>
    <w:rsid w:val="004A73C9"/>
    <w:rsid w:val="004A7475"/>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9D3"/>
    <w:rsid w:val="00545B7C"/>
    <w:rsid w:val="00545D4C"/>
    <w:rsid w:val="00545FC1"/>
    <w:rsid w:val="00546C0C"/>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AD4"/>
    <w:rsid w:val="00563583"/>
    <w:rsid w:val="005635DB"/>
    <w:rsid w:val="00563722"/>
    <w:rsid w:val="005644D2"/>
    <w:rsid w:val="00564915"/>
    <w:rsid w:val="00565126"/>
    <w:rsid w:val="0056605B"/>
    <w:rsid w:val="005664D0"/>
    <w:rsid w:val="00566509"/>
    <w:rsid w:val="00566610"/>
    <w:rsid w:val="00566C96"/>
    <w:rsid w:val="0056736F"/>
    <w:rsid w:val="00567D1B"/>
    <w:rsid w:val="005705DB"/>
    <w:rsid w:val="005709EF"/>
    <w:rsid w:val="0057109F"/>
    <w:rsid w:val="00571971"/>
    <w:rsid w:val="005721D9"/>
    <w:rsid w:val="00572770"/>
    <w:rsid w:val="005727ED"/>
    <w:rsid w:val="0057299C"/>
    <w:rsid w:val="005729C9"/>
    <w:rsid w:val="00572A16"/>
    <w:rsid w:val="00572D02"/>
    <w:rsid w:val="00572E68"/>
    <w:rsid w:val="00572F10"/>
    <w:rsid w:val="005731E7"/>
    <w:rsid w:val="00573836"/>
    <w:rsid w:val="00573C96"/>
    <w:rsid w:val="00574200"/>
    <w:rsid w:val="00574776"/>
    <w:rsid w:val="005747E8"/>
    <w:rsid w:val="00574ADD"/>
    <w:rsid w:val="00574BF4"/>
    <w:rsid w:val="00575FD0"/>
    <w:rsid w:val="00576547"/>
    <w:rsid w:val="005766D7"/>
    <w:rsid w:val="00576B8F"/>
    <w:rsid w:val="00576ED0"/>
    <w:rsid w:val="00576F87"/>
    <w:rsid w:val="00577B69"/>
    <w:rsid w:val="005800A3"/>
    <w:rsid w:val="00580FED"/>
    <w:rsid w:val="00581587"/>
    <w:rsid w:val="00581F5A"/>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89C"/>
    <w:rsid w:val="005E43D7"/>
    <w:rsid w:val="005E43D9"/>
    <w:rsid w:val="005E4D2B"/>
    <w:rsid w:val="005E4DFD"/>
    <w:rsid w:val="005E4E92"/>
    <w:rsid w:val="005E5326"/>
    <w:rsid w:val="005E549E"/>
    <w:rsid w:val="005E5E26"/>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441"/>
    <w:rsid w:val="00604586"/>
    <w:rsid w:val="00604A3E"/>
    <w:rsid w:val="00604E98"/>
    <w:rsid w:val="006052EB"/>
    <w:rsid w:val="00605593"/>
    <w:rsid w:val="00607A47"/>
    <w:rsid w:val="00607D49"/>
    <w:rsid w:val="00607E9C"/>
    <w:rsid w:val="00610586"/>
    <w:rsid w:val="00610A0E"/>
    <w:rsid w:val="00610D9A"/>
    <w:rsid w:val="00611ED2"/>
    <w:rsid w:val="0061253F"/>
    <w:rsid w:val="00613239"/>
    <w:rsid w:val="006133AF"/>
    <w:rsid w:val="00614D9F"/>
    <w:rsid w:val="00615CF7"/>
    <w:rsid w:val="0061600A"/>
    <w:rsid w:val="00616417"/>
    <w:rsid w:val="0061657A"/>
    <w:rsid w:val="00616CA8"/>
    <w:rsid w:val="00617620"/>
    <w:rsid w:val="006177C3"/>
    <w:rsid w:val="00617CB1"/>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653"/>
    <w:rsid w:val="00642997"/>
    <w:rsid w:val="006436D0"/>
    <w:rsid w:val="00643F7D"/>
    <w:rsid w:val="0064437A"/>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5F0"/>
    <w:rsid w:val="00672A00"/>
    <w:rsid w:val="00672A27"/>
    <w:rsid w:val="00674135"/>
    <w:rsid w:val="00674DCE"/>
    <w:rsid w:val="00675104"/>
    <w:rsid w:val="00675A8E"/>
    <w:rsid w:val="00675D1F"/>
    <w:rsid w:val="00675F27"/>
    <w:rsid w:val="00676955"/>
    <w:rsid w:val="00676D3E"/>
    <w:rsid w:val="00677048"/>
    <w:rsid w:val="0068046C"/>
    <w:rsid w:val="006812C0"/>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3196"/>
    <w:rsid w:val="00693207"/>
    <w:rsid w:val="006935B9"/>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298"/>
    <w:rsid w:val="006B1923"/>
    <w:rsid w:val="006B1CFA"/>
    <w:rsid w:val="006B260C"/>
    <w:rsid w:val="006B2E18"/>
    <w:rsid w:val="006B30BA"/>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878"/>
    <w:rsid w:val="006D0BDD"/>
    <w:rsid w:val="006D0BE5"/>
    <w:rsid w:val="006D0CB8"/>
    <w:rsid w:val="006D0CDA"/>
    <w:rsid w:val="006D150F"/>
    <w:rsid w:val="006D231F"/>
    <w:rsid w:val="006D23E7"/>
    <w:rsid w:val="006D2762"/>
    <w:rsid w:val="006D2A1D"/>
    <w:rsid w:val="006D32D2"/>
    <w:rsid w:val="006D38E2"/>
    <w:rsid w:val="006D3E7B"/>
    <w:rsid w:val="006D41C9"/>
    <w:rsid w:val="006D48F6"/>
    <w:rsid w:val="006D5920"/>
    <w:rsid w:val="006D59CA"/>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6013E"/>
    <w:rsid w:val="00760921"/>
    <w:rsid w:val="0076128E"/>
    <w:rsid w:val="00761A68"/>
    <w:rsid w:val="0076266C"/>
    <w:rsid w:val="0076334C"/>
    <w:rsid w:val="007645ED"/>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CFA"/>
    <w:rsid w:val="00780D57"/>
    <w:rsid w:val="00780F67"/>
    <w:rsid w:val="007811DE"/>
    <w:rsid w:val="007818C5"/>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2B5B"/>
    <w:rsid w:val="007A3506"/>
    <w:rsid w:val="007A372A"/>
    <w:rsid w:val="007A3BD1"/>
    <w:rsid w:val="007A4153"/>
    <w:rsid w:val="007A46C9"/>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E47"/>
    <w:rsid w:val="00801AB1"/>
    <w:rsid w:val="00802383"/>
    <w:rsid w:val="008024E5"/>
    <w:rsid w:val="00802C82"/>
    <w:rsid w:val="008033B8"/>
    <w:rsid w:val="008033C1"/>
    <w:rsid w:val="00803689"/>
    <w:rsid w:val="00803D71"/>
    <w:rsid w:val="00803DDC"/>
    <w:rsid w:val="00803EBA"/>
    <w:rsid w:val="0080498C"/>
    <w:rsid w:val="008049DB"/>
    <w:rsid w:val="008054B4"/>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F24"/>
    <w:rsid w:val="00832458"/>
    <w:rsid w:val="00832573"/>
    <w:rsid w:val="00832601"/>
    <w:rsid w:val="00832DD9"/>
    <w:rsid w:val="00833045"/>
    <w:rsid w:val="0083478D"/>
    <w:rsid w:val="0083687A"/>
    <w:rsid w:val="008368D4"/>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76E8"/>
    <w:rsid w:val="008610C6"/>
    <w:rsid w:val="00861804"/>
    <w:rsid w:val="00862584"/>
    <w:rsid w:val="00862D18"/>
    <w:rsid w:val="0086305F"/>
    <w:rsid w:val="008632E4"/>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D61"/>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B4"/>
    <w:rsid w:val="008E58A8"/>
    <w:rsid w:val="008E6374"/>
    <w:rsid w:val="008E6791"/>
    <w:rsid w:val="008E72A7"/>
    <w:rsid w:val="008E7C43"/>
    <w:rsid w:val="008F0232"/>
    <w:rsid w:val="008F04AE"/>
    <w:rsid w:val="008F0682"/>
    <w:rsid w:val="008F06E3"/>
    <w:rsid w:val="008F1581"/>
    <w:rsid w:val="008F23FE"/>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473"/>
    <w:rsid w:val="009007BB"/>
    <w:rsid w:val="00900ED9"/>
    <w:rsid w:val="009013F6"/>
    <w:rsid w:val="00901880"/>
    <w:rsid w:val="009018CE"/>
    <w:rsid w:val="00901D16"/>
    <w:rsid w:val="00901EB2"/>
    <w:rsid w:val="00902AA5"/>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0EB2"/>
    <w:rsid w:val="00991CC7"/>
    <w:rsid w:val="00991D80"/>
    <w:rsid w:val="00991EA5"/>
    <w:rsid w:val="009920AC"/>
    <w:rsid w:val="009923F6"/>
    <w:rsid w:val="00992863"/>
    <w:rsid w:val="00992AD4"/>
    <w:rsid w:val="00992B33"/>
    <w:rsid w:val="00992B8E"/>
    <w:rsid w:val="009945E8"/>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88F"/>
    <w:rsid w:val="009C79AB"/>
    <w:rsid w:val="009C7ACB"/>
    <w:rsid w:val="009C7EF2"/>
    <w:rsid w:val="009D135A"/>
    <w:rsid w:val="009D1A50"/>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3B0"/>
    <w:rsid w:val="00A01E51"/>
    <w:rsid w:val="00A03C6A"/>
    <w:rsid w:val="00A04285"/>
    <w:rsid w:val="00A04494"/>
    <w:rsid w:val="00A04767"/>
    <w:rsid w:val="00A0546E"/>
    <w:rsid w:val="00A0551C"/>
    <w:rsid w:val="00A05BB8"/>
    <w:rsid w:val="00A06295"/>
    <w:rsid w:val="00A06427"/>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EF5"/>
    <w:rsid w:val="00A704EA"/>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DDC"/>
    <w:rsid w:val="00A83F37"/>
    <w:rsid w:val="00A84018"/>
    <w:rsid w:val="00A8418F"/>
    <w:rsid w:val="00A842A3"/>
    <w:rsid w:val="00A84B94"/>
    <w:rsid w:val="00A84BED"/>
    <w:rsid w:val="00A8536F"/>
    <w:rsid w:val="00A857C4"/>
    <w:rsid w:val="00A85AF6"/>
    <w:rsid w:val="00A85CD9"/>
    <w:rsid w:val="00A85E27"/>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DFD"/>
    <w:rsid w:val="00A95EE0"/>
    <w:rsid w:val="00A96EF6"/>
    <w:rsid w:val="00AA0925"/>
    <w:rsid w:val="00AA096E"/>
    <w:rsid w:val="00AA1293"/>
    <w:rsid w:val="00AA14C3"/>
    <w:rsid w:val="00AA188D"/>
    <w:rsid w:val="00AA2F5F"/>
    <w:rsid w:val="00AA3EDF"/>
    <w:rsid w:val="00AA411A"/>
    <w:rsid w:val="00AA4220"/>
    <w:rsid w:val="00AA4239"/>
    <w:rsid w:val="00AA4D46"/>
    <w:rsid w:val="00AA54AE"/>
    <w:rsid w:val="00AA5F04"/>
    <w:rsid w:val="00AA6816"/>
    <w:rsid w:val="00AA69E5"/>
    <w:rsid w:val="00AA6D4E"/>
    <w:rsid w:val="00AA73D0"/>
    <w:rsid w:val="00AA75CE"/>
    <w:rsid w:val="00AB023A"/>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2191"/>
    <w:rsid w:val="00B12F04"/>
    <w:rsid w:val="00B13082"/>
    <w:rsid w:val="00B134E7"/>
    <w:rsid w:val="00B13A79"/>
    <w:rsid w:val="00B14075"/>
    <w:rsid w:val="00B14FC0"/>
    <w:rsid w:val="00B159F7"/>
    <w:rsid w:val="00B16524"/>
    <w:rsid w:val="00B165E7"/>
    <w:rsid w:val="00B16E86"/>
    <w:rsid w:val="00B170A8"/>
    <w:rsid w:val="00B17C0B"/>
    <w:rsid w:val="00B20364"/>
    <w:rsid w:val="00B20E6F"/>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842"/>
    <w:rsid w:val="00BA4D41"/>
    <w:rsid w:val="00BA58AF"/>
    <w:rsid w:val="00BA58BB"/>
    <w:rsid w:val="00BA67FC"/>
    <w:rsid w:val="00BA6B8E"/>
    <w:rsid w:val="00BA7285"/>
    <w:rsid w:val="00BA7BE8"/>
    <w:rsid w:val="00BB01AF"/>
    <w:rsid w:val="00BB08F7"/>
    <w:rsid w:val="00BB0BA7"/>
    <w:rsid w:val="00BB0CA1"/>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52DE"/>
    <w:rsid w:val="00BC5902"/>
    <w:rsid w:val="00BC66E0"/>
    <w:rsid w:val="00BC69C6"/>
    <w:rsid w:val="00BC7775"/>
    <w:rsid w:val="00BC7956"/>
    <w:rsid w:val="00BD02E6"/>
    <w:rsid w:val="00BD065D"/>
    <w:rsid w:val="00BD0CF8"/>
    <w:rsid w:val="00BD0DDA"/>
    <w:rsid w:val="00BD1252"/>
    <w:rsid w:val="00BD1469"/>
    <w:rsid w:val="00BD154F"/>
    <w:rsid w:val="00BD1FF6"/>
    <w:rsid w:val="00BD2256"/>
    <w:rsid w:val="00BD24B6"/>
    <w:rsid w:val="00BD3080"/>
    <w:rsid w:val="00BD3124"/>
    <w:rsid w:val="00BD316A"/>
    <w:rsid w:val="00BD33EC"/>
    <w:rsid w:val="00BD3A9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4BF"/>
    <w:rsid w:val="00BE654A"/>
    <w:rsid w:val="00BE6653"/>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27F09"/>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C61"/>
    <w:rsid w:val="00C43F21"/>
    <w:rsid w:val="00C441C2"/>
    <w:rsid w:val="00C4421D"/>
    <w:rsid w:val="00C46397"/>
    <w:rsid w:val="00C47B24"/>
    <w:rsid w:val="00C50040"/>
    <w:rsid w:val="00C507A3"/>
    <w:rsid w:val="00C5183A"/>
    <w:rsid w:val="00C51B9C"/>
    <w:rsid w:val="00C51BEC"/>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D2730"/>
    <w:rsid w:val="00CD28B2"/>
    <w:rsid w:val="00CD2DD0"/>
    <w:rsid w:val="00CD2E3B"/>
    <w:rsid w:val="00CD33EE"/>
    <w:rsid w:val="00CD3776"/>
    <w:rsid w:val="00CD4D65"/>
    <w:rsid w:val="00CD4ED7"/>
    <w:rsid w:val="00CD55B1"/>
    <w:rsid w:val="00CD5680"/>
    <w:rsid w:val="00CD57E1"/>
    <w:rsid w:val="00CD59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51A0"/>
    <w:rsid w:val="00D451C2"/>
    <w:rsid w:val="00D45385"/>
    <w:rsid w:val="00D45546"/>
    <w:rsid w:val="00D45C34"/>
    <w:rsid w:val="00D4777F"/>
    <w:rsid w:val="00D478D3"/>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60F"/>
    <w:rsid w:val="00D7197E"/>
    <w:rsid w:val="00D71EB9"/>
    <w:rsid w:val="00D726FD"/>
    <w:rsid w:val="00D72C26"/>
    <w:rsid w:val="00D73288"/>
    <w:rsid w:val="00D73686"/>
    <w:rsid w:val="00D7371E"/>
    <w:rsid w:val="00D73EF2"/>
    <w:rsid w:val="00D741DB"/>
    <w:rsid w:val="00D742A0"/>
    <w:rsid w:val="00D74E88"/>
    <w:rsid w:val="00D75216"/>
    <w:rsid w:val="00D756A7"/>
    <w:rsid w:val="00D75D33"/>
    <w:rsid w:val="00D75E56"/>
    <w:rsid w:val="00D763AE"/>
    <w:rsid w:val="00D76CD8"/>
    <w:rsid w:val="00D77919"/>
    <w:rsid w:val="00D779D4"/>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62"/>
    <w:rsid w:val="00DC759F"/>
    <w:rsid w:val="00DD0B51"/>
    <w:rsid w:val="00DD0BE6"/>
    <w:rsid w:val="00DD1707"/>
    <w:rsid w:val="00DD1963"/>
    <w:rsid w:val="00DD1C59"/>
    <w:rsid w:val="00DD263C"/>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51B1"/>
    <w:rsid w:val="00E057EA"/>
    <w:rsid w:val="00E05E00"/>
    <w:rsid w:val="00E06357"/>
    <w:rsid w:val="00E0667E"/>
    <w:rsid w:val="00E06F09"/>
    <w:rsid w:val="00E06FAA"/>
    <w:rsid w:val="00E073FE"/>
    <w:rsid w:val="00E078A6"/>
    <w:rsid w:val="00E07916"/>
    <w:rsid w:val="00E07AA2"/>
    <w:rsid w:val="00E1015B"/>
    <w:rsid w:val="00E106AE"/>
    <w:rsid w:val="00E10723"/>
    <w:rsid w:val="00E11236"/>
    <w:rsid w:val="00E1164D"/>
    <w:rsid w:val="00E11A5C"/>
    <w:rsid w:val="00E11CCB"/>
    <w:rsid w:val="00E1223A"/>
    <w:rsid w:val="00E122A9"/>
    <w:rsid w:val="00E12447"/>
    <w:rsid w:val="00E12ABE"/>
    <w:rsid w:val="00E12E0E"/>
    <w:rsid w:val="00E12FC7"/>
    <w:rsid w:val="00E1415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14"/>
    <w:rsid w:val="00E374A1"/>
    <w:rsid w:val="00E37673"/>
    <w:rsid w:val="00E408E9"/>
    <w:rsid w:val="00E413F2"/>
    <w:rsid w:val="00E418F1"/>
    <w:rsid w:val="00E419DB"/>
    <w:rsid w:val="00E41C29"/>
    <w:rsid w:val="00E41D45"/>
    <w:rsid w:val="00E4238A"/>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400E"/>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55B1"/>
    <w:rsid w:val="00E85E67"/>
    <w:rsid w:val="00E86621"/>
    <w:rsid w:val="00E86A0D"/>
    <w:rsid w:val="00E87BD5"/>
    <w:rsid w:val="00E87C5D"/>
    <w:rsid w:val="00E87C9B"/>
    <w:rsid w:val="00E90B12"/>
    <w:rsid w:val="00E90D43"/>
    <w:rsid w:val="00E912B1"/>
    <w:rsid w:val="00E921EF"/>
    <w:rsid w:val="00E927FD"/>
    <w:rsid w:val="00E92BF5"/>
    <w:rsid w:val="00E94E0B"/>
    <w:rsid w:val="00E94FD2"/>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686E"/>
    <w:rsid w:val="00EB6974"/>
    <w:rsid w:val="00EB6D6E"/>
    <w:rsid w:val="00EB7570"/>
    <w:rsid w:val="00EB7649"/>
    <w:rsid w:val="00EB76BD"/>
    <w:rsid w:val="00EC05A9"/>
    <w:rsid w:val="00EC07C5"/>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E7616"/>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971"/>
    <w:rsid w:val="00F13C27"/>
    <w:rsid w:val="00F14133"/>
    <w:rsid w:val="00F144D6"/>
    <w:rsid w:val="00F14C5F"/>
    <w:rsid w:val="00F14FC4"/>
    <w:rsid w:val="00F1511E"/>
    <w:rsid w:val="00F15860"/>
    <w:rsid w:val="00F15A42"/>
    <w:rsid w:val="00F15DA5"/>
    <w:rsid w:val="00F16108"/>
    <w:rsid w:val="00F16136"/>
    <w:rsid w:val="00F16526"/>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79C"/>
    <w:rsid w:val="00F3223F"/>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3B6"/>
    <w:rsid w:val="00F45496"/>
    <w:rsid w:val="00F45854"/>
    <w:rsid w:val="00F45D0C"/>
    <w:rsid w:val="00F460F1"/>
    <w:rsid w:val="00F464B2"/>
    <w:rsid w:val="00F468F2"/>
    <w:rsid w:val="00F4697F"/>
    <w:rsid w:val="00F46B56"/>
    <w:rsid w:val="00F46C8A"/>
    <w:rsid w:val="00F46D54"/>
    <w:rsid w:val="00F46DBE"/>
    <w:rsid w:val="00F50DC4"/>
    <w:rsid w:val="00F524C0"/>
    <w:rsid w:val="00F52A72"/>
    <w:rsid w:val="00F53483"/>
    <w:rsid w:val="00F53548"/>
    <w:rsid w:val="00F540CB"/>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029"/>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4A68"/>
    <w:rsid w:val="00F954CA"/>
    <w:rsid w:val="00F95676"/>
    <w:rsid w:val="00F96280"/>
    <w:rsid w:val="00F967BB"/>
    <w:rsid w:val="00F96E84"/>
    <w:rsid w:val="00F97914"/>
    <w:rsid w:val="00F97E2D"/>
    <w:rsid w:val="00FA01D4"/>
    <w:rsid w:val="00FA2A41"/>
    <w:rsid w:val="00FA2BD7"/>
    <w:rsid w:val="00FA3BAD"/>
    <w:rsid w:val="00FA3F06"/>
    <w:rsid w:val="00FA4744"/>
    <w:rsid w:val="00FA53DE"/>
    <w:rsid w:val="00FA6DE6"/>
    <w:rsid w:val="00FA6F37"/>
    <w:rsid w:val="00FA6FA7"/>
    <w:rsid w:val="00FA77CA"/>
    <w:rsid w:val="00FB0862"/>
    <w:rsid w:val="00FB0D8A"/>
    <w:rsid w:val="00FB119A"/>
    <w:rsid w:val="00FB141F"/>
    <w:rsid w:val="00FB1431"/>
    <w:rsid w:val="00FB162D"/>
    <w:rsid w:val="00FB181F"/>
    <w:rsid w:val="00FB1918"/>
    <w:rsid w:val="00FB1AE8"/>
    <w:rsid w:val="00FB1D7A"/>
    <w:rsid w:val="00FB24C0"/>
    <w:rsid w:val="00FB2671"/>
    <w:rsid w:val="00FB286E"/>
    <w:rsid w:val="00FB29B4"/>
    <w:rsid w:val="00FB2A18"/>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64EF"/>
    <w:rsid w:val="00FD7771"/>
    <w:rsid w:val="00FE0294"/>
    <w:rsid w:val="00FE18B4"/>
    <w:rsid w:val="00FE1CEF"/>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1F9269A"/>
    <w:rsid w:val="120474A0"/>
    <w:rsid w:val="13102ABE"/>
    <w:rsid w:val="167D280D"/>
    <w:rsid w:val="167E0103"/>
    <w:rsid w:val="17047766"/>
    <w:rsid w:val="17935895"/>
    <w:rsid w:val="17F52C18"/>
    <w:rsid w:val="184530EF"/>
    <w:rsid w:val="19227A4B"/>
    <w:rsid w:val="1A4E7B88"/>
    <w:rsid w:val="1B3E182A"/>
    <w:rsid w:val="1B4B5195"/>
    <w:rsid w:val="1BA118C6"/>
    <w:rsid w:val="1C174C6F"/>
    <w:rsid w:val="1C7C020D"/>
    <w:rsid w:val="1C8F78BA"/>
    <w:rsid w:val="1C9B0D84"/>
    <w:rsid w:val="1CDD3F3B"/>
    <w:rsid w:val="1D4D6869"/>
    <w:rsid w:val="20707345"/>
    <w:rsid w:val="211A75F0"/>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980D64"/>
    <w:rsid w:val="2EB64B4B"/>
    <w:rsid w:val="2EDB590A"/>
    <w:rsid w:val="2F0A29E3"/>
    <w:rsid w:val="2F5F2840"/>
    <w:rsid w:val="30817D6A"/>
    <w:rsid w:val="3157114E"/>
    <w:rsid w:val="31F2037F"/>
    <w:rsid w:val="329B11F6"/>
    <w:rsid w:val="336E087E"/>
    <w:rsid w:val="33A85DA6"/>
    <w:rsid w:val="33C3087D"/>
    <w:rsid w:val="35961B12"/>
    <w:rsid w:val="364523AD"/>
    <w:rsid w:val="36700D38"/>
    <w:rsid w:val="36C4673D"/>
    <w:rsid w:val="37B10B63"/>
    <w:rsid w:val="37D17C49"/>
    <w:rsid w:val="38950836"/>
    <w:rsid w:val="390721D7"/>
    <w:rsid w:val="393B510C"/>
    <w:rsid w:val="393F4767"/>
    <w:rsid w:val="39A97E97"/>
    <w:rsid w:val="3A260C29"/>
    <w:rsid w:val="3B57268D"/>
    <w:rsid w:val="3B6176CE"/>
    <w:rsid w:val="3BF9504C"/>
    <w:rsid w:val="3CF11603"/>
    <w:rsid w:val="3D7507FB"/>
    <w:rsid w:val="3DEC54EE"/>
    <w:rsid w:val="3EB5127A"/>
    <w:rsid w:val="3F503E5E"/>
    <w:rsid w:val="3FC16214"/>
    <w:rsid w:val="41576FF8"/>
    <w:rsid w:val="41D9164E"/>
    <w:rsid w:val="41DD521D"/>
    <w:rsid w:val="423B7022"/>
    <w:rsid w:val="42A87124"/>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2C3297B"/>
    <w:rsid w:val="54054633"/>
    <w:rsid w:val="540605E4"/>
    <w:rsid w:val="547F0032"/>
    <w:rsid w:val="54A02A20"/>
    <w:rsid w:val="55C87B3E"/>
    <w:rsid w:val="57851477"/>
    <w:rsid w:val="58D67D8C"/>
    <w:rsid w:val="58E10577"/>
    <w:rsid w:val="59165EF7"/>
    <w:rsid w:val="59702A12"/>
    <w:rsid w:val="5AED2A9C"/>
    <w:rsid w:val="5BC746C9"/>
    <w:rsid w:val="5CC61F72"/>
    <w:rsid w:val="5CF206F7"/>
    <w:rsid w:val="5EA0340D"/>
    <w:rsid w:val="5ED66C3C"/>
    <w:rsid w:val="5EED8E3B"/>
    <w:rsid w:val="5FDD643B"/>
    <w:rsid w:val="60BA3E42"/>
    <w:rsid w:val="6194383B"/>
    <w:rsid w:val="61CB5375"/>
    <w:rsid w:val="623348CA"/>
    <w:rsid w:val="65CA685B"/>
    <w:rsid w:val="65CF34A7"/>
    <w:rsid w:val="65F660EF"/>
    <w:rsid w:val="6673798C"/>
    <w:rsid w:val="673905B6"/>
    <w:rsid w:val="681C3942"/>
    <w:rsid w:val="68460AAC"/>
    <w:rsid w:val="68AC1CFE"/>
    <w:rsid w:val="68EC626C"/>
    <w:rsid w:val="6BCD1DE6"/>
    <w:rsid w:val="6C505023"/>
    <w:rsid w:val="6D14299F"/>
    <w:rsid w:val="6D672A1E"/>
    <w:rsid w:val="6DC237D1"/>
    <w:rsid w:val="6F40725E"/>
    <w:rsid w:val="6F4C2770"/>
    <w:rsid w:val="6F745D74"/>
    <w:rsid w:val="711172CF"/>
    <w:rsid w:val="71FD54DD"/>
    <w:rsid w:val="728E0287"/>
    <w:rsid w:val="72BF1650"/>
    <w:rsid w:val="739A7F5B"/>
    <w:rsid w:val="7410294D"/>
    <w:rsid w:val="76D71644"/>
    <w:rsid w:val="776C2FB6"/>
    <w:rsid w:val="79982284"/>
    <w:rsid w:val="7998662D"/>
    <w:rsid w:val="7A8C5878"/>
    <w:rsid w:val="7B471854"/>
    <w:rsid w:val="7BFFACC7"/>
    <w:rsid w:val="7C552333"/>
    <w:rsid w:val="7CA86C55"/>
    <w:rsid w:val="7CF019C1"/>
    <w:rsid w:val="7D461CAD"/>
    <w:rsid w:val="7DDC2280"/>
    <w:rsid w:val="7E28286A"/>
    <w:rsid w:val="7E4515FE"/>
    <w:rsid w:val="7EAD59B2"/>
    <w:rsid w:val="7EAF05CE"/>
    <w:rsid w:val="7F91273C"/>
    <w:rsid w:val="7FDE438F"/>
    <w:rsid w:val="B77D925A"/>
    <w:rsid w:val="BEFF5AC9"/>
    <w:rsid w:val="DFFFFFF2"/>
    <w:rsid w:val="FF954B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2">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autoRedefine/>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autoRedefine/>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autoRedefine/>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autoRedefine/>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autoRedefine/>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autoRedefine/>
    <w:qFormat/>
    <w:uiPriority w:val="99"/>
    <w:pPr>
      <w:jc w:val="left"/>
    </w:pPr>
  </w:style>
  <w:style w:type="paragraph" w:styleId="19">
    <w:name w:val="Body Text 3"/>
    <w:basedOn w:val="1"/>
    <w:link w:val="458"/>
    <w:autoRedefine/>
    <w:unhideWhenUsed/>
    <w:qFormat/>
    <w:uiPriority w:val="0"/>
    <w:pPr>
      <w:spacing w:after="120"/>
    </w:pPr>
    <w:rPr>
      <w:sz w:val="16"/>
      <w:szCs w:val="16"/>
    </w:rPr>
  </w:style>
  <w:style w:type="paragraph" w:styleId="20">
    <w:name w:val="Body Text"/>
    <w:basedOn w:val="1"/>
    <w:link w:val="71"/>
    <w:autoRedefine/>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autoRedefine/>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autoRedefine/>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autoRedefine/>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autoRedefine/>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link w:val="292"/>
    <w:autoRedefine/>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autoRedefine/>
    <w:qFormat/>
    <w:uiPriority w:val="99"/>
    <w:rPr>
      <w:sz w:val="21"/>
      <w:szCs w:val="21"/>
    </w:rPr>
  </w:style>
  <w:style w:type="character" w:customStyle="1" w:styleId="59">
    <w:name w:val="标题 3 Char"/>
    <w:basedOn w:val="52"/>
    <w:link w:val="4"/>
    <w:autoRedefine/>
    <w:qFormat/>
    <w:uiPriority w:val="0"/>
    <w:rPr>
      <w:b/>
      <w:bCs/>
      <w:kern w:val="2"/>
      <w:sz w:val="24"/>
      <w:szCs w:val="32"/>
    </w:rPr>
  </w:style>
  <w:style w:type="character" w:customStyle="1" w:styleId="60">
    <w:name w:val="标题 1 Char"/>
    <w:basedOn w:val="52"/>
    <w:link w:val="3"/>
    <w:autoRedefine/>
    <w:qFormat/>
    <w:uiPriority w:val="0"/>
    <w:rPr>
      <w:rFonts w:eastAsiaTheme="minorEastAsia"/>
      <w:b/>
      <w:kern w:val="44"/>
      <w:sz w:val="44"/>
      <w:szCs w:val="28"/>
    </w:rPr>
  </w:style>
  <w:style w:type="character" w:customStyle="1" w:styleId="61">
    <w:name w:val="标题 2 Char"/>
    <w:basedOn w:val="52"/>
    <w:link w:val="2"/>
    <w:autoRedefine/>
    <w:qFormat/>
    <w:uiPriority w:val="0"/>
    <w:rPr>
      <w:rFonts w:ascii="Arial" w:hAnsi="Arial" w:eastAsiaTheme="minorEastAsia"/>
      <w:b/>
      <w:bCs/>
      <w:kern w:val="2"/>
      <w:sz w:val="28"/>
      <w:szCs w:val="32"/>
    </w:rPr>
  </w:style>
  <w:style w:type="character" w:customStyle="1" w:styleId="62">
    <w:name w:val="标题 4 Char1"/>
    <w:basedOn w:val="52"/>
    <w:link w:val="5"/>
    <w:autoRedefine/>
    <w:qFormat/>
    <w:uiPriority w:val="99"/>
    <w:rPr>
      <w:rFonts w:ascii="Arial" w:hAnsi="Arial" w:eastAsia="黑体"/>
      <w:b/>
      <w:bCs/>
      <w:kern w:val="2"/>
      <w:sz w:val="28"/>
      <w:szCs w:val="28"/>
    </w:rPr>
  </w:style>
  <w:style w:type="character" w:customStyle="1" w:styleId="63">
    <w:name w:val="正文缩进 Char"/>
    <w:link w:val="7"/>
    <w:autoRedefine/>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99"/>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1"/>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autoRedefine/>
    <w:qFormat/>
    <w:uiPriority w:val="34"/>
    <w:rPr>
      <w:kern w:val="2"/>
      <w:sz w:val="21"/>
      <w:szCs w:val="24"/>
    </w:rPr>
  </w:style>
  <w:style w:type="paragraph" w:customStyle="1" w:styleId="96">
    <w:name w:val="正文1"/>
    <w:basedOn w:val="1"/>
    <w:autoRedefine/>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autoRedefine/>
    <w:qFormat/>
    <w:uiPriority w:val="0"/>
    <w:pPr>
      <w:spacing w:line="360" w:lineRule="auto"/>
      <w:ind w:firstLine="200" w:firstLineChars="200"/>
    </w:pPr>
    <w:rPr>
      <w:rFonts w:ascii="Tahoma" w:hAnsi="Tahoma"/>
      <w:sz w:val="24"/>
    </w:rPr>
  </w:style>
  <w:style w:type="paragraph" w:customStyle="1" w:styleId="98">
    <w:name w:val="缩进正文"/>
    <w:basedOn w:val="1"/>
    <w:link w:val="99"/>
    <w:autoRedefine/>
    <w:qFormat/>
    <w:uiPriority w:val="0"/>
    <w:pPr>
      <w:ind w:firstLine="560" w:firstLineChars="200"/>
    </w:pPr>
    <w:rPr>
      <w:rFonts w:eastAsia="仿宋_GB2312" w:cs="宋体"/>
      <w:sz w:val="28"/>
      <w:szCs w:val="20"/>
    </w:rPr>
  </w:style>
  <w:style w:type="character" w:customStyle="1" w:styleId="99">
    <w:name w:val="缩进正文 Char"/>
    <w:link w:val="98"/>
    <w:autoRedefine/>
    <w:qFormat/>
    <w:uiPriority w:val="0"/>
    <w:rPr>
      <w:rFonts w:eastAsia="仿宋_GB2312" w:cs="宋体"/>
      <w:kern w:val="2"/>
      <w:sz w:val="28"/>
      <w:lang w:val="en-US" w:eastAsia="zh-CN" w:bidi="ar-SA"/>
    </w:rPr>
  </w:style>
  <w:style w:type="character" w:customStyle="1" w:styleId="100">
    <w:name w:val="访问过的超链接1"/>
    <w:autoRedefine/>
    <w:qFormat/>
    <w:uiPriority w:val="0"/>
    <w:rPr>
      <w:color w:val="800080"/>
      <w:u w:val="single"/>
    </w:rPr>
  </w:style>
  <w:style w:type="paragraph" w:customStyle="1" w:styleId="101">
    <w:name w:val="Char Char Char Char Char Char Char"/>
    <w:basedOn w:val="1"/>
    <w:autoRedefine/>
    <w:qFormat/>
    <w:uiPriority w:val="0"/>
    <w:pPr>
      <w:widowControl/>
      <w:adjustRightInd w:val="0"/>
      <w:spacing w:after="160" w:line="240" w:lineRule="exact"/>
      <w:jc w:val="left"/>
      <w:textAlignment w:val="baseline"/>
    </w:pPr>
  </w:style>
  <w:style w:type="character" w:customStyle="1" w:styleId="102">
    <w:name w:val="正文缩进 Char1"/>
    <w:autoRedefine/>
    <w:qFormat/>
    <w:uiPriority w:val="0"/>
    <w:rPr>
      <w:rFonts w:eastAsia="宋体"/>
      <w:kern w:val="2"/>
      <w:sz w:val="21"/>
      <w:lang w:val="en-US" w:eastAsia="zh-CN" w:bidi="ar-SA"/>
    </w:rPr>
  </w:style>
  <w:style w:type="paragraph" w:customStyle="1" w:styleId="103">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autoRedefine/>
    <w:unhideWhenUsed/>
    <w:qFormat/>
    <w:uiPriority w:val="34"/>
    <w:pPr>
      <w:ind w:firstLine="420" w:firstLineChars="200"/>
    </w:pPr>
  </w:style>
  <w:style w:type="paragraph" w:customStyle="1" w:styleId="105">
    <w:name w:val="Table Paragraph"/>
    <w:basedOn w:val="1"/>
    <w:autoRedefine/>
    <w:qFormat/>
    <w:uiPriority w:val="0"/>
    <w:pPr>
      <w:autoSpaceDE w:val="0"/>
      <w:autoSpaceDN w:val="0"/>
      <w:adjustRightInd w:val="0"/>
      <w:jc w:val="left"/>
    </w:pPr>
    <w:rPr>
      <w:rFonts w:ascii="宋体" w:hAnsi="宋体" w:cs="宋体"/>
      <w:kern w:val="0"/>
      <w:sz w:val="24"/>
    </w:rPr>
  </w:style>
  <w:style w:type="character" w:customStyle="1" w:styleId="106">
    <w:name w:val="font11"/>
    <w:basedOn w:val="52"/>
    <w:autoRedefine/>
    <w:qFormat/>
    <w:uiPriority w:val="0"/>
    <w:rPr>
      <w:rFonts w:hint="eastAsia" w:ascii="宋体" w:hAnsi="宋体" w:eastAsia="宋体" w:cs="宋体"/>
      <w:b/>
      <w:color w:val="000000"/>
      <w:sz w:val="21"/>
      <w:szCs w:val="21"/>
      <w:u w:val="none"/>
    </w:rPr>
  </w:style>
  <w:style w:type="character" w:customStyle="1" w:styleId="107">
    <w:name w:val="批注文字 Char1"/>
    <w:autoRedefine/>
    <w:qFormat/>
    <w:locked/>
    <w:uiPriority w:val="0"/>
    <w:rPr>
      <w:rFonts w:ascii="Calibri" w:hAnsi="Calibri" w:eastAsia="宋体" w:cs="Calibri"/>
      <w:szCs w:val="21"/>
    </w:rPr>
  </w:style>
  <w:style w:type="character" w:customStyle="1" w:styleId="108">
    <w:name w:val="title1"/>
    <w:autoRedefine/>
    <w:qFormat/>
    <w:uiPriority w:val="0"/>
    <w:rPr>
      <w:rFonts w:hint="eastAsia" w:ascii="微软雅黑" w:hAnsi="微软雅黑" w:eastAsia="微软雅黑"/>
      <w:sz w:val="21"/>
      <w:szCs w:val="21"/>
    </w:rPr>
  </w:style>
  <w:style w:type="character" w:customStyle="1" w:styleId="109">
    <w:name w:val="sect2title1"/>
    <w:autoRedefine/>
    <w:qFormat/>
    <w:uiPriority w:val="0"/>
    <w:rPr>
      <w:rFonts w:hint="eastAsia" w:ascii="微软雅黑" w:hAnsi="微软雅黑" w:eastAsia="微软雅黑"/>
      <w:b/>
      <w:bCs/>
      <w:sz w:val="21"/>
      <w:szCs w:val="21"/>
    </w:rPr>
  </w:style>
  <w:style w:type="paragraph" w:customStyle="1" w:styleId="110">
    <w:name w:val="标题1"/>
    <w:basedOn w:val="1"/>
    <w:autoRedefine/>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autoRedefine/>
    <w:qFormat/>
    <w:uiPriority w:val="0"/>
    <w:rPr>
      <w:rFonts w:ascii="Tahoma" w:hAnsi="Tahoma" w:eastAsia="Tahoma" w:cs="Tahoma"/>
      <w:color w:val="000000"/>
      <w:sz w:val="20"/>
      <w:szCs w:val="20"/>
      <w:u w:val="none"/>
    </w:rPr>
  </w:style>
  <w:style w:type="paragraph" w:customStyle="1" w:styleId="112">
    <w:name w:val="font5"/>
    <w:basedOn w:val="1"/>
    <w:autoRedefine/>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autoRedefine/>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autoRedefine/>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autoRedefine/>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autoRedefine/>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autoRedefine/>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autoRedefine/>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autoRedefine/>
    <w:qFormat/>
    <w:uiPriority w:val="0"/>
    <w:pPr>
      <w:spacing w:beforeLines="50"/>
      <w:ind w:firstLine="200" w:firstLineChars="200"/>
    </w:pPr>
    <w:rPr>
      <w:rFonts w:ascii="Calibri" w:hAnsi="Calibri" w:eastAsia="华文仿宋"/>
      <w:szCs w:val="22"/>
    </w:rPr>
  </w:style>
  <w:style w:type="paragraph" w:customStyle="1" w:styleId="256">
    <w:name w:val="正文A缩进"/>
    <w:basedOn w:val="1"/>
    <w:autoRedefine/>
    <w:qFormat/>
    <w:uiPriority w:val="0"/>
    <w:pPr>
      <w:spacing w:line="360" w:lineRule="auto"/>
      <w:ind w:firstLine="200" w:firstLineChars="200"/>
    </w:pPr>
    <w:rPr>
      <w:kern w:val="0"/>
      <w:sz w:val="28"/>
      <w:szCs w:val="20"/>
    </w:rPr>
  </w:style>
  <w:style w:type="paragraph" w:customStyle="1" w:styleId="257">
    <w:name w:val="_Style 1"/>
    <w:autoRedefine/>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autoRedefine/>
    <w:qFormat/>
    <w:uiPriority w:val="0"/>
    <w:rPr>
      <w:b/>
      <w:bCs/>
      <w:kern w:val="2"/>
      <w:sz w:val="28"/>
      <w:szCs w:val="28"/>
    </w:rPr>
  </w:style>
  <w:style w:type="character" w:customStyle="1" w:styleId="259">
    <w:name w:val="标题 6 Char"/>
    <w:basedOn w:val="52"/>
    <w:autoRedefine/>
    <w:qFormat/>
    <w:uiPriority w:val="9"/>
    <w:rPr>
      <w:rFonts w:asciiTheme="majorHAnsi" w:hAnsiTheme="majorHAnsi" w:eastAsiaTheme="majorEastAsia" w:cstheme="majorBidi"/>
      <w:b/>
      <w:bCs/>
      <w:kern w:val="2"/>
      <w:sz w:val="24"/>
      <w:szCs w:val="24"/>
    </w:rPr>
  </w:style>
  <w:style w:type="character" w:customStyle="1" w:styleId="260">
    <w:name w:val="标题 7 Char"/>
    <w:basedOn w:val="52"/>
    <w:autoRedefine/>
    <w:qFormat/>
    <w:uiPriority w:val="9"/>
    <w:rPr>
      <w:b/>
      <w:bCs/>
      <w:kern w:val="2"/>
      <w:sz w:val="24"/>
      <w:szCs w:val="24"/>
    </w:rPr>
  </w:style>
  <w:style w:type="character" w:customStyle="1" w:styleId="261">
    <w:name w:val="标题 8 Char"/>
    <w:basedOn w:val="52"/>
    <w:autoRedefine/>
    <w:qFormat/>
    <w:uiPriority w:val="9"/>
    <w:rPr>
      <w:rFonts w:asciiTheme="majorHAnsi" w:hAnsiTheme="majorHAnsi" w:eastAsiaTheme="majorEastAsia" w:cstheme="majorBidi"/>
      <w:kern w:val="2"/>
      <w:sz w:val="24"/>
      <w:szCs w:val="24"/>
    </w:rPr>
  </w:style>
  <w:style w:type="character" w:customStyle="1" w:styleId="262">
    <w:name w:val="标题 9 Char"/>
    <w:basedOn w:val="52"/>
    <w:autoRedefine/>
    <w:qFormat/>
    <w:uiPriority w:val="0"/>
    <w:rPr>
      <w:rFonts w:asciiTheme="majorHAnsi" w:hAnsiTheme="majorHAnsi" w:eastAsiaTheme="majorEastAsia" w:cstheme="majorBidi"/>
      <w:kern w:val="2"/>
      <w:sz w:val="21"/>
      <w:szCs w:val="21"/>
    </w:rPr>
  </w:style>
  <w:style w:type="paragraph" w:customStyle="1" w:styleId="263">
    <w:name w:val="！表格内容"/>
    <w:basedOn w:val="1"/>
    <w:autoRedefine/>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autoRedefine/>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autoRedefine/>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autoRedefine/>
    <w:qFormat/>
    <w:uiPriority w:val="0"/>
    <w:rPr>
      <w:rFonts w:ascii="Times New Roman" w:hAnsi="Times New Roman" w:eastAsia="宋体" w:cs="Times New Roman"/>
      <w:sz w:val="18"/>
      <w:szCs w:val="18"/>
    </w:rPr>
  </w:style>
  <w:style w:type="character" w:customStyle="1" w:styleId="271">
    <w:name w:val="标题 1 Char1"/>
    <w:basedOn w:val="52"/>
    <w:autoRedefine/>
    <w:qFormat/>
    <w:uiPriority w:val="0"/>
    <w:rPr>
      <w:b/>
      <w:bCs/>
      <w:kern w:val="44"/>
      <w:sz w:val="44"/>
      <w:szCs w:val="44"/>
    </w:rPr>
  </w:style>
  <w:style w:type="character" w:customStyle="1" w:styleId="272">
    <w:name w:val="标题 2 Char1"/>
    <w:basedOn w:val="52"/>
    <w:autoRedefine/>
    <w:qFormat/>
    <w:uiPriority w:val="0"/>
    <w:rPr>
      <w:rFonts w:asciiTheme="majorHAnsi" w:hAnsiTheme="majorHAnsi" w:eastAsiaTheme="majorEastAsia" w:cstheme="majorBidi"/>
      <w:b/>
      <w:bCs/>
      <w:kern w:val="2"/>
      <w:sz w:val="32"/>
      <w:szCs w:val="32"/>
    </w:rPr>
  </w:style>
  <w:style w:type="character" w:customStyle="1" w:styleId="273">
    <w:name w:val="标题 3 Char1"/>
    <w:basedOn w:val="52"/>
    <w:autoRedefine/>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4"/>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2"/>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3"/>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autoRedefine/>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autoRedefine/>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8"/>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autoRedefine/>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autoRedefine/>
    <w:qFormat/>
    <w:uiPriority w:val="0"/>
    <w:rPr>
      <w:rFonts w:ascii="宋体" w:hAnsi="Courier New"/>
      <w:szCs w:val="20"/>
    </w:rPr>
  </w:style>
  <w:style w:type="paragraph" w:customStyle="1" w:styleId="474">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autoRedefine/>
    <w:qFormat/>
    <w:uiPriority w:val="0"/>
    <w:pPr>
      <w:widowControl/>
      <w:spacing w:after="160" w:line="240" w:lineRule="exact"/>
      <w:jc w:val="left"/>
    </w:pPr>
  </w:style>
  <w:style w:type="paragraph" w:customStyle="1" w:styleId="476">
    <w:name w:val="USE 1"/>
    <w:basedOn w:val="1"/>
    <w:autoRedefine/>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autoRedefine/>
    <w:qFormat/>
    <w:uiPriority w:val="0"/>
    <w:rPr>
      <w:rFonts w:ascii="宋体" w:hAnsi="Courier New"/>
      <w:szCs w:val="20"/>
    </w:rPr>
  </w:style>
  <w:style w:type="paragraph" w:customStyle="1" w:styleId="495">
    <w:name w:val="Char Char Char"/>
    <w:basedOn w:val="1"/>
    <w:autoRedefine/>
    <w:qFormat/>
    <w:uiPriority w:val="0"/>
    <w:rPr>
      <w:szCs w:val="20"/>
    </w:rPr>
  </w:style>
  <w:style w:type="paragraph" w:customStyle="1" w:styleId="496">
    <w:name w:val="Char2"/>
    <w:basedOn w:val="1"/>
    <w:autoRedefine/>
    <w:qFormat/>
    <w:uiPriority w:val="0"/>
    <w:rPr>
      <w:rFonts w:ascii="Tahoma" w:hAnsi="Tahoma"/>
      <w:sz w:val="24"/>
      <w:szCs w:val="20"/>
    </w:rPr>
  </w:style>
  <w:style w:type="paragraph" w:customStyle="1" w:styleId="497">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autoRedefine/>
    <w:qFormat/>
    <w:uiPriority w:val="0"/>
    <w:rPr>
      <w:rFonts w:ascii="宋体" w:hAnsi="Courier New"/>
      <w:szCs w:val="20"/>
    </w:rPr>
  </w:style>
  <w:style w:type="paragraph" w:customStyle="1" w:styleId="501">
    <w:name w:val="2"/>
    <w:basedOn w:val="1"/>
    <w:next w:val="45"/>
    <w:autoRedefine/>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503">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autoRedefine/>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8330</Words>
  <Characters>47486</Characters>
  <Lines>395</Lines>
  <Paragraphs>111</Paragraphs>
  <TotalTime>7</TotalTime>
  <ScaleCrop>false</ScaleCrop>
  <LinksUpToDate>false</LinksUpToDate>
  <CharactersWithSpaces>55705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2019-11-08T09:16:00Z</dcterms:created>
  <dc:creator>微软用户</dc:creator>
  <cp:lastModifiedBy>中正招标-李工</cp:lastModifiedBy>
  <cp:lastPrinted>2020-05-26T09:03:00Z</cp:lastPrinted>
  <dcterms:modified xsi:type="dcterms:W3CDTF">2024-03-21T02:43:20Z</dcterms:modified>
  <dc:title>招标编号：UHO2010-G0029</dc:title>
  <cp:revision>730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E7EFCA99BA2A42C1A83BB3F37221F387</vt:lpwstr>
  </property>
</Properties>
</file>